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86F7" w14:textId="51D634F4" w:rsidR="006853FD" w:rsidRPr="00276128" w:rsidRDefault="00D27836" w:rsidP="00320A11">
      <w:pPr>
        <w:pStyle w:val="Headline"/>
        <w:contextualSpacing/>
      </w:pPr>
      <w:r w:rsidRPr="00276128">
        <w:t>25 let CBRE v</w:t>
      </w:r>
      <w:r w:rsidR="00610807" w:rsidRPr="00276128">
        <w:t> </w:t>
      </w:r>
      <w:r w:rsidRPr="00276128">
        <w:t>ČR</w:t>
      </w:r>
      <w:r w:rsidR="00610807" w:rsidRPr="00276128">
        <w:t xml:space="preserve">: </w:t>
      </w:r>
      <w:r w:rsidRPr="00276128">
        <w:t xml:space="preserve">Jak </w:t>
      </w:r>
      <w:r w:rsidR="00D90F65" w:rsidRPr="00276128">
        <w:t xml:space="preserve">se </w:t>
      </w:r>
      <w:r w:rsidRPr="00276128">
        <w:t xml:space="preserve">za </w:t>
      </w:r>
      <w:r w:rsidR="003112B0" w:rsidRPr="00276128">
        <w:t>poslední čtvrtstoletí</w:t>
      </w:r>
      <w:r w:rsidRPr="00276128">
        <w:t xml:space="preserve"> proměnil trh komerčních </w:t>
      </w:r>
      <w:r w:rsidR="00610807" w:rsidRPr="00276128">
        <w:t xml:space="preserve">realit </w:t>
      </w:r>
      <w:r w:rsidRPr="00276128">
        <w:t>a</w:t>
      </w:r>
      <w:r w:rsidR="00D90F65" w:rsidRPr="00276128">
        <w:t> </w:t>
      </w:r>
      <w:r w:rsidR="003112B0" w:rsidRPr="00276128">
        <w:t>kam</w:t>
      </w:r>
      <w:r w:rsidR="00D90F65" w:rsidRPr="00276128">
        <w:t> dále </w:t>
      </w:r>
      <w:r w:rsidR="003112B0" w:rsidRPr="00276128">
        <w:t>směřuje</w:t>
      </w:r>
      <w:r w:rsidR="00610807" w:rsidRPr="00276128">
        <w:t>?</w:t>
      </w:r>
    </w:p>
    <w:p w14:paraId="41780AB7" w14:textId="77777777" w:rsidR="00904FEF" w:rsidRPr="00276128" w:rsidRDefault="00904FEF" w:rsidP="00E02087">
      <w:pPr>
        <w:pStyle w:val="BodyCopy"/>
        <w:rPr>
          <w:sz w:val="28"/>
          <w:szCs w:val="28"/>
        </w:rPr>
      </w:pPr>
    </w:p>
    <w:p w14:paraId="7280056C" w14:textId="7E54B822" w:rsidR="00B11D32" w:rsidRDefault="008F65E2" w:rsidP="000160A0">
      <w:pPr>
        <w:pStyle w:val="BodyCopy"/>
        <w:rPr>
          <w:sz w:val="22"/>
          <w:szCs w:val="22"/>
        </w:rPr>
      </w:pPr>
      <w:r w:rsidRPr="00276128">
        <w:rPr>
          <w:b/>
          <w:bCs/>
          <w:sz w:val="22"/>
          <w:szCs w:val="22"/>
        </w:rPr>
        <w:t>Praha</w:t>
      </w:r>
      <w:r w:rsidR="00D94AE7" w:rsidRPr="00276128">
        <w:rPr>
          <w:b/>
          <w:bCs/>
          <w:sz w:val="22"/>
          <w:szCs w:val="22"/>
        </w:rPr>
        <w:t xml:space="preserve">, </w:t>
      </w:r>
      <w:r w:rsidR="00B11D32">
        <w:rPr>
          <w:b/>
          <w:bCs/>
          <w:sz w:val="22"/>
          <w:szCs w:val="22"/>
        </w:rPr>
        <w:t>1</w:t>
      </w:r>
      <w:r w:rsidR="00275BE8">
        <w:rPr>
          <w:b/>
          <w:bCs/>
          <w:sz w:val="22"/>
          <w:szCs w:val="22"/>
        </w:rPr>
        <w:t>8</w:t>
      </w:r>
      <w:r w:rsidR="00D94AE7" w:rsidRPr="00276128">
        <w:rPr>
          <w:b/>
          <w:bCs/>
          <w:sz w:val="22"/>
          <w:szCs w:val="22"/>
        </w:rPr>
        <w:t xml:space="preserve">. </w:t>
      </w:r>
      <w:r w:rsidR="002B16AE" w:rsidRPr="00276128">
        <w:rPr>
          <w:b/>
          <w:bCs/>
          <w:sz w:val="22"/>
          <w:szCs w:val="22"/>
        </w:rPr>
        <w:t>listopadu</w:t>
      </w:r>
      <w:r w:rsidR="00D94AE7" w:rsidRPr="00276128">
        <w:rPr>
          <w:b/>
          <w:bCs/>
          <w:sz w:val="22"/>
          <w:szCs w:val="22"/>
        </w:rPr>
        <w:t xml:space="preserve"> 2024</w:t>
      </w:r>
      <w:r w:rsidR="00D94AE7" w:rsidRPr="00276128">
        <w:rPr>
          <w:sz w:val="22"/>
          <w:szCs w:val="22"/>
        </w:rPr>
        <w:t xml:space="preserve"> –</w:t>
      </w:r>
      <w:r w:rsidR="002B16AE" w:rsidRPr="00276128">
        <w:rPr>
          <w:sz w:val="22"/>
          <w:szCs w:val="22"/>
        </w:rPr>
        <w:t xml:space="preserve"> Společnost </w:t>
      </w:r>
      <w:r w:rsidR="000160A0" w:rsidRPr="00276128">
        <w:rPr>
          <w:sz w:val="22"/>
          <w:szCs w:val="22"/>
        </w:rPr>
        <w:t>CBRE, světov</w:t>
      </w:r>
      <w:r w:rsidR="002B16AE" w:rsidRPr="00276128">
        <w:rPr>
          <w:sz w:val="22"/>
          <w:szCs w:val="22"/>
        </w:rPr>
        <w:t xml:space="preserve">ý </w:t>
      </w:r>
      <w:r w:rsidR="000160A0" w:rsidRPr="00276128">
        <w:rPr>
          <w:sz w:val="22"/>
          <w:szCs w:val="22"/>
        </w:rPr>
        <w:t xml:space="preserve">lídr v oblasti komerčních realitních služeb, </w:t>
      </w:r>
      <w:r w:rsidR="002B16AE" w:rsidRPr="00276128">
        <w:rPr>
          <w:sz w:val="22"/>
          <w:szCs w:val="22"/>
        </w:rPr>
        <w:t>slaví 25 let na</w:t>
      </w:r>
      <w:r w:rsidR="006E2075">
        <w:rPr>
          <w:sz w:val="22"/>
          <w:szCs w:val="22"/>
        </w:rPr>
        <w:t> </w:t>
      </w:r>
      <w:r w:rsidR="002B16AE" w:rsidRPr="00276128">
        <w:rPr>
          <w:sz w:val="22"/>
          <w:szCs w:val="22"/>
        </w:rPr>
        <w:t xml:space="preserve">tuzemském trhu. Ten během </w:t>
      </w:r>
      <w:r w:rsidR="0058328B" w:rsidRPr="00276128">
        <w:rPr>
          <w:sz w:val="22"/>
          <w:szCs w:val="22"/>
        </w:rPr>
        <w:t>stejného období</w:t>
      </w:r>
      <w:r w:rsidR="002B16AE" w:rsidRPr="00276128">
        <w:rPr>
          <w:sz w:val="22"/>
          <w:szCs w:val="22"/>
        </w:rPr>
        <w:t xml:space="preserve"> prošel významnými změnami</w:t>
      </w:r>
      <w:r w:rsidR="0058328B" w:rsidRPr="00276128">
        <w:rPr>
          <w:sz w:val="22"/>
          <w:szCs w:val="22"/>
        </w:rPr>
        <w:t xml:space="preserve"> a </w:t>
      </w:r>
      <w:r w:rsidR="00020D11" w:rsidRPr="00276128">
        <w:rPr>
          <w:sz w:val="22"/>
          <w:szCs w:val="22"/>
        </w:rPr>
        <w:t>do</w:t>
      </w:r>
      <w:r w:rsidR="00610807" w:rsidRPr="00276128">
        <w:rPr>
          <w:sz w:val="22"/>
          <w:szCs w:val="22"/>
        </w:rPr>
        <w:t>zrál</w:t>
      </w:r>
      <w:r w:rsidR="00020D11" w:rsidRPr="00276128">
        <w:rPr>
          <w:sz w:val="22"/>
          <w:szCs w:val="22"/>
        </w:rPr>
        <w:t xml:space="preserve"> do </w:t>
      </w:r>
      <w:r w:rsidR="00E92D0F" w:rsidRPr="00276128">
        <w:rPr>
          <w:sz w:val="22"/>
          <w:szCs w:val="22"/>
        </w:rPr>
        <w:t xml:space="preserve">stabilního </w:t>
      </w:r>
      <w:r w:rsidR="0058328B" w:rsidRPr="00276128">
        <w:rPr>
          <w:sz w:val="22"/>
          <w:szCs w:val="22"/>
        </w:rPr>
        <w:t xml:space="preserve">investičního prostředí, které </w:t>
      </w:r>
      <w:r w:rsidR="00020D11" w:rsidRPr="00276128">
        <w:rPr>
          <w:sz w:val="22"/>
          <w:szCs w:val="22"/>
        </w:rPr>
        <w:t xml:space="preserve">obstojí v mezinárodní konkurenci a </w:t>
      </w:r>
      <w:r w:rsidR="0058328B" w:rsidRPr="00276128">
        <w:rPr>
          <w:sz w:val="22"/>
          <w:szCs w:val="22"/>
        </w:rPr>
        <w:t xml:space="preserve">přitahuje domácí i </w:t>
      </w:r>
      <w:r w:rsidR="00020D11" w:rsidRPr="00276128">
        <w:rPr>
          <w:sz w:val="22"/>
          <w:szCs w:val="22"/>
        </w:rPr>
        <w:t>zahraniční</w:t>
      </w:r>
      <w:r w:rsidR="0058328B" w:rsidRPr="00276128">
        <w:rPr>
          <w:sz w:val="22"/>
          <w:szCs w:val="22"/>
        </w:rPr>
        <w:t xml:space="preserve"> </w:t>
      </w:r>
      <w:r w:rsidR="00020D11" w:rsidRPr="00276128">
        <w:rPr>
          <w:sz w:val="22"/>
          <w:szCs w:val="22"/>
        </w:rPr>
        <w:t>kapitál</w:t>
      </w:r>
      <w:r w:rsidR="0058328B" w:rsidRPr="00276128">
        <w:rPr>
          <w:sz w:val="22"/>
          <w:szCs w:val="22"/>
        </w:rPr>
        <w:t>.</w:t>
      </w:r>
      <w:r w:rsidR="00E92D0F" w:rsidRPr="00276128">
        <w:rPr>
          <w:sz w:val="22"/>
          <w:szCs w:val="22"/>
        </w:rPr>
        <w:t xml:space="preserve"> </w:t>
      </w:r>
      <w:bookmarkStart w:id="0" w:name="_Hlk181103531"/>
    </w:p>
    <w:p w14:paraId="7BFB995B" w14:textId="77777777" w:rsidR="00B11D32" w:rsidRDefault="00B11D32" w:rsidP="000160A0">
      <w:pPr>
        <w:pStyle w:val="BodyCopy"/>
        <w:rPr>
          <w:sz w:val="22"/>
          <w:szCs w:val="22"/>
        </w:rPr>
      </w:pPr>
    </w:p>
    <w:p w14:paraId="7C3CA654" w14:textId="2B349688" w:rsidR="00B11D32" w:rsidRDefault="00B11D32" w:rsidP="000160A0">
      <w:pPr>
        <w:pStyle w:val="BodyCopy"/>
        <w:rPr>
          <w:sz w:val="22"/>
          <w:szCs w:val="22"/>
        </w:rPr>
      </w:pPr>
      <w:proofErr w:type="spellStart"/>
      <w:r w:rsidRPr="00952169">
        <w:rPr>
          <w:b/>
          <w:bCs/>
          <w:sz w:val="22"/>
          <w:szCs w:val="22"/>
        </w:rPr>
        <w:t>Clare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 w:rsidRPr="00952169">
        <w:rPr>
          <w:b/>
          <w:bCs/>
          <w:sz w:val="22"/>
          <w:szCs w:val="22"/>
        </w:rPr>
        <w:t>Sheils</w:t>
      </w:r>
      <w:proofErr w:type="spellEnd"/>
      <w:r w:rsidRPr="00952169">
        <w:rPr>
          <w:b/>
          <w:bCs/>
          <w:sz w:val="22"/>
          <w:szCs w:val="22"/>
        </w:rPr>
        <w:t>, generální ředitelka CBRE pro Českou republiku</w:t>
      </w:r>
      <w:r w:rsidRPr="00952169">
        <w:rPr>
          <w:sz w:val="22"/>
          <w:szCs w:val="22"/>
        </w:rPr>
        <w:t>,</w:t>
      </w:r>
      <w:r w:rsidRPr="00B11D32">
        <w:rPr>
          <w:sz w:val="22"/>
          <w:szCs w:val="22"/>
        </w:rPr>
        <w:t xml:space="preserve"> </w:t>
      </w:r>
      <w:r>
        <w:rPr>
          <w:sz w:val="22"/>
          <w:szCs w:val="22"/>
        </w:rPr>
        <w:t>uvádí:</w:t>
      </w:r>
      <w:r w:rsidRPr="00B11D32">
        <w:rPr>
          <w:sz w:val="22"/>
          <w:szCs w:val="22"/>
        </w:rPr>
        <w:t xml:space="preserve"> </w:t>
      </w:r>
      <w:r w:rsidRPr="00952169">
        <w:rPr>
          <w:i/>
          <w:iCs/>
          <w:sz w:val="22"/>
          <w:szCs w:val="22"/>
        </w:rPr>
        <w:t>„</w:t>
      </w:r>
      <w:r w:rsidR="00E92D0F" w:rsidRPr="00952169">
        <w:rPr>
          <w:i/>
          <w:iCs/>
          <w:sz w:val="22"/>
          <w:szCs w:val="22"/>
        </w:rPr>
        <w:t xml:space="preserve">Zatímco zpočátku transakcím </w:t>
      </w:r>
      <w:r w:rsidR="00DD660A" w:rsidRPr="00952169">
        <w:rPr>
          <w:i/>
          <w:iCs/>
          <w:sz w:val="22"/>
          <w:szCs w:val="22"/>
        </w:rPr>
        <w:t>dominovaly převážně</w:t>
      </w:r>
      <w:r w:rsidR="00E92D0F" w:rsidRPr="00952169">
        <w:rPr>
          <w:i/>
          <w:iCs/>
          <w:sz w:val="22"/>
          <w:szCs w:val="22"/>
        </w:rPr>
        <w:t xml:space="preserve"> kancelářské nemovitosti, postupem času </w:t>
      </w:r>
      <w:r w:rsidR="00020D11" w:rsidRPr="00952169">
        <w:rPr>
          <w:i/>
          <w:iCs/>
          <w:sz w:val="22"/>
          <w:szCs w:val="22"/>
        </w:rPr>
        <w:t>v</w:t>
      </w:r>
      <w:r w:rsidR="00E9109B" w:rsidRPr="00952169">
        <w:rPr>
          <w:i/>
          <w:iCs/>
          <w:sz w:val="22"/>
          <w:szCs w:val="22"/>
        </w:rPr>
        <w:t>z</w:t>
      </w:r>
      <w:r w:rsidR="00E92D0F" w:rsidRPr="00952169">
        <w:rPr>
          <w:i/>
          <w:iCs/>
          <w:sz w:val="22"/>
          <w:szCs w:val="22"/>
        </w:rPr>
        <w:t xml:space="preserve">rostl zájem </w:t>
      </w:r>
      <w:r w:rsidR="00020D11" w:rsidRPr="00952169">
        <w:rPr>
          <w:i/>
          <w:iCs/>
          <w:sz w:val="22"/>
          <w:szCs w:val="22"/>
        </w:rPr>
        <w:t xml:space="preserve">i </w:t>
      </w:r>
      <w:r w:rsidR="00E92D0F" w:rsidRPr="00952169">
        <w:rPr>
          <w:i/>
          <w:iCs/>
          <w:sz w:val="22"/>
          <w:szCs w:val="22"/>
        </w:rPr>
        <w:t>o další sektory</w:t>
      </w:r>
      <w:bookmarkEnd w:id="0"/>
      <w:r w:rsidR="00DD660A" w:rsidRPr="00952169">
        <w:rPr>
          <w:i/>
          <w:iCs/>
          <w:sz w:val="22"/>
          <w:szCs w:val="22"/>
        </w:rPr>
        <w:t xml:space="preserve">, </w:t>
      </w:r>
      <w:r w:rsidR="0068797C" w:rsidRPr="00952169">
        <w:rPr>
          <w:i/>
          <w:iCs/>
          <w:sz w:val="22"/>
          <w:szCs w:val="22"/>
        </w:rPr>
        <w:t>ať</w:t>
      </w:r>
      <w:r w:rsidR="006E2075" w:rsidRPr="00952169">
        <w:rPr>
          <w:i/>
          <w:iCs/>
          <w:sz w:val="22"/>
          <w:szCs w:val="22"/>
        </w:rPr>
        <w:t> </w:t>
      </w:r>
      <w:r w:rsidR="0068797C" w:rsidRPr="00952169">
        <w:rPr>
          <w:i/>
          <w:iCs/>
          <w:sz w:val="22"/>
          <w:szCs w:val="22"/>
        </w:rPr>
        <w:t>už</w:t>
      </w:r>
      <w:r w:rsidR="006E2075" w:rsidRPr="00952169">
        <w:rPr>
          <w:i/>
          <w:iCs/>
          <w:sz w:val="22"/>
          <w:szCs w:val="22"/>
        </w:rPr>
        <w:t> </w:t>
      </w:r>
      <w:r w:rsidR="0068797C" w:rsidRPr="00952169">
        <w:rPr>
          <w:i/>
          <w:iCs/>
          <w:sz w:val="22"/>
          <w:szCs w:val="22"/>
        </w:rPr>
        <w:t>jde o</w:t>
      </w:r>
      <w:r w:rsidR="00275BE8">
        <w:rPr>
          <w:i/>
          <w:iCs/>
          <w:sz w:val="22"/>
          <w:szCs w:val="22"/>
        </w:rPr>
        <w:t> </w:t>
      </w:r>
      <w:r w:rsidR="0068797C" w:rsidRPr="00952169">
        <w:rPr>
          <w:i/>
          <w:iCs/>
          <w:sz w:val="22"/>
          <w:szCs w:val="22"/>
        </w:rPr>
        <w:t>maloobchod, průmysl a logistiku</w:t>
      </w:r>
      <w:r w:rsidR="00530F86" w:rsidRPr="00952169">
        <w:rPr>
          <w:i/>
          <w:iCs/>
          <w:sz w:val="22"/>
          <w:szCs w:val="22"/>
        </w:rPr>
        <w:t xml:space="preserve">, </w:t>
      </w:r>
      <w:r w:rsidR="0068797C" w:rsidRPr="00952169">
        <w:rPr>
          <w:i/>
          <w:iCs/>
          <w:sz w:val="22"/>
          <w:szCs w:val="22"/>
        </w:rPr>
        <w:t>hotely</w:t>
      </w:r>
      <w:r w:rsidR="00530F86" w:rsidRPr="00952169">
        <w:rPr>
          <w:i/>
          <w:iCs/>
          <w:sz w:val="22"/>
          <w:szCs w:val="22"/>
        </w:rPr>
        <w:t xml:space="preserve"> či nově vznikající </w:t>
      </w:r>
      <w:r w:rsidR="001F1E7D" w:rsidRPr="00952169">
        <w:rPr>
          <w:i/>
          <w:iCs/>
          <w:sz w:val="22"/>
          <w:szCs w:val="22"/>
        </w:rPr>
        <w:t xml:space="preserve">investiční </w:t>
      </w:r>
      <w:r w:rsidR="00A8392F" w:rsidRPr="00952169">
        <w:rPr>
          <w:i/>
          <w:iCs/>
          <w:sz w:val="22"/>
          <w:szCs w:val="22"/>
        </w:rPr>
        <w:t>aktiva</w:t>
      </w:r>
      <w:r w:rsidR="00275BE8">
        <w:rPr>
          <w:i/>
          <w:iCs/>
          <w:sz w:val="22"/>
          <w:szCs w:val="22"/>
        </w:rPr>
        <w:t>.“</w:t>
      </w:r>
    </w:p>
    <w:p w14:paraId="5802923F" w14:textId="77777777" w:rsidR="00B11D32" w:rsidRDefault="00B11D32" w:rsidP="000160A0">
      <w:pPr>
        <w:pStyle w:val="BodyCopy"/>
        <w:rPr>
          <w:sz w:val="22"/>
          <w:szCs w:val="22"/>
        </w:rPr>
      </w:pPr>
    </w:p>
    <w:p w14:paraId="7DA8566C" w14:textId="30B68BA6" w:rsidR="001C30E4" w:rsidRDefault="001C30E4" w:rsidP="000160A0">
      <w:pPr>
        <w:pStyle w:val="BodyCopy"/>
        <w:rPr>
          <w:sz w:val="22"/>
          <w:szCs w:val="22"/>
        </w:rPr>
      </w:pPr>
      <w:r w:rsidRPr="001C30E4">
        <w:rPr>
          <w:sz w:val="22"/>
          <w:szCs w:val="22"/>
        </w:rPr>
        <w:t>Vedoucí jednotlivých oddělení specializovan</w:t>
      </w:r>
      <w:r w:rsidR="00000618">
        <w:rPr>
          <w:sz w:val="22"/>
          <w:szCs w:val="22"/>
        </w:rPr>
        <w:t xml:space="preserve">í </w:t>
      </w:r>
      <w:r w:rsidRPr="001C30E4">
        <w:rPr>
          <w:sz w:val="22"/>
          <w:szCs w:val="22"/>
        </w:rPr>
        <w:t xml:space="preserve">na konkrétní segmenty komerčních nemovitostí </w:t>
      </w:r>
      <w:r w:rsidR="00B11D32">
        <w:rPr>
          <w:sz w:val="22"/>
          <w:szCs w:val="22"/>
        </w:rPr>
        <w:t xml:space="preserve">ji doplňují, když </w:t>
      </w:r>
      <w:r w:rsidRPr="001C30E4">
        <w:rPr>
          <w:sz w:val="22"/>
          <w:szCs w:val="22"/>
        </w:rPr>
        <w:t>komentují hlavní faktory, které</w:t>
      </w:r>
      <w:r w:rsidR="006E2075">
        <w:rPr>
          <w:sz w:val="22"/>
          <w:szCs w:val="22"/>
        </w:rPr>
        <w:t> </w:t>
      </w:r>
      <w:r w:rsidRPr="001C30E4">
        <w:rPr>
          <w:sz w:val="22"/>
          <w:szCs w:val="22"/>
        </w:rPr>
        <w:t>nejvíce ovlivnily současný trh, a zamýšlejí se nad jeho budoucími vyhlídkami.</w:t>
      </w:r>
    </w:p>
    <w:p w14:paraId="3B256186" w14:textId="7551D8FB" w:rsidR="00D84047" w:rsidRPr="00276128" w:rsidRDefault="00B2605C" w:rsidP="000160A0">
      <w:pPr>
        <w:pStyle w:val="BodyCopy"/>
        <w:rPr>
          <w:sz w:val="22"/>
          <w:szCs w:val="22"/>
        </w:rPr>
      </w:pPr>
      <w:r>
        <w:rPr>
          <w:sz w:val="22"/>
          <w:szCs w:val="22"/>
        </w:rPr>
        <w:br/>
      </w:r>
      <w:r w:rsidR="00790F17" w:rsidRPr="00276128">
        <w:rPr>
          <w:i/>
          <w:iCs/>
          <w:sz w:val="22"/>
          <w:szCs w:val="22"/>
        </w:rPr>
        <w:t>„</w:t>
      </w:r>
      <w:r w:rsidR="001F1E7D" w:rsidRPr="00276128">
        <w:rPr>
          <w:i/>
          <w:iCs/>
          <w:sz w:val="22"/>
          <w:szCs w:val="22"/>
        </w:rPr>
        <w:t xml:space="preserve">Uplynulé </w:t>
      </w:r>
      <w:r w:rsidR="00790F17" w:rsidRPr="00276128">
        <w:rPr>
          <w:i/>
          <w:iCs/>
          <w:sz w:val="22"/>
          <w:szCs w:val="22"/>
        </w:rPr>
        <w:t>čtvrtstoletí defin</w:t>
      </w:r>
      <w:r w:rsidR="00AA53CA" w:rsidRPr="00276128">
        <w:rPr>
          <w:i/>
          <w:iCs/>
          <w:sz w:val="22"/>
          <w:szCs w:val="22"/>
        </w:rPr>
        <w:t>ovalo</w:t>
      </w:r>
      <w:r w:rsidR="00790F17" w:rsidRPr="00276128">
        <w:rPr>
          <w:i/>
          <w:iCs/>
          <w:sz w:val="22"/>
          <w:szCs w:val="22"/>
        </w:rPr>
        <w:t xml:space="preserve"> hned několik </w:t>
      </w:r>
      <w:r w:rsidR="005F1B09" w:rsidRPr="00276128">
        <w:rPr>
          <w:i/>
          <w:iCs/>
          <w:sz w:val="22"/>
          <w:szCs w:val="22"/>
        </w:rPr>
        <w:t xml:space="preserve">výrazných </w:t>
      </w:r>
      <w:r w:rsidR="00790F17" w:rsidRPr="00276128">
        <w:rPr>
          <w:i/>
          <w:iCs/>
          <w:sz w:val="22"/>
          <w:szCs w:val="22"/>
        </w:rPr>
        <w:t xml:space="preserve">milníků. </w:t>
      </w:r>
      <w:r w:rsidR="00495249" w:rsidRPr="00276128">
        <w:rPr>
          <w:i/>
          <w:iCs/>
          <w:sz w:val="22"/>
          <w:szCs w:val="22"/>
        </w:rPr>
        <w:t xml:space="preserve">Z pohledu </w:t>
      </w:r>
      <w:r w:rsidR="00790F17" w:rsidRPr="00276128">
        <w:rPr>
          <w:i/>
          <w:iCs/>
          <w:sz w:val="22"/>
          <w:szCs w:val="22"/>
        </w:rPr>
        <w:t>rozvoj</w:t>
      </w:r>
      <w:r w:rsidR="00495249" w:rsidRPr="00276128">
        <w:rPr>
          <w:i/>
          <w:iCs/>
          <w:sz w:val="22"/>
          <w:szCs w:val="22"/>
        </w:rPr>
        <w:t>e</w:t>
      </w:r>
      <w:r w:rsidR="00790F17" w:rsidRPr="00276128">
        <w:rPr>
          <w:i/>
          <w:iCs/>
          <w:sz w:val="22"/>
          <w:szCs w:val="22"/>
        </w:rPr>
        <w:t xml:space="preserve"> investičního trhu byl zcela zásadní vstup ČR do Evropské unie v roce 2004, který vý</w:t>
      </w:r>
      <w:r w:rsidR="00495249" w:rsidRPr="00276128">
        <w:rPr>
          <w:i/>
          <w:iCs/>
          <w:sz w:val="22"/>
          <w:szCs w:val="22"/>
        </w:rPr>
        <w:t>znamně</w:t>
      </w:r>
      <w:r w:rsidR="00790F17" w:rsidRPr="00276128">
        <w:rPr>
          <w:i/>
          <w:iCs/>
          <w:sz w:val="22"/>
          <w:szCs w:val="22"/>
        </w:rPr>
        <w:t xml:space="preserve"> zvýšil důvěru zahraničních investorů a přinesl nové investiční příležitosti</w:t>
      </w:r>
      <w:r w:rsidR="00920BAB">
        <w:rPr>
          <w:i/>
          <w:iCs/>
          <w:sz w:val="22"/>
          <w:szCs w:val="22"/>
        </w:rPr>
        <w:t xml:space="preserve">. </w:t>
      </w:r>
      <w:r w:rsidR="00B702D1" w:rsidRPr="00276128">
        <w:rPr>
          <w:i/>
          <w:iCs/>
          <w:sz w:val="22"/>
          <w:szCs w:val="22"/>
        </w:rPr>
        <w:t>P</w:t>
      </w:r>
      <w:r w:rsidR="00790F17" w:rsidRPr="00276128">
        <w:rPr>
          <w:i/>
          <w:iCs/>
          <w:sz w:val="22"/>
          <w:szCs w:val="22"/>
        </w:rPr>
        <w:t xml:space="preserve">řelomové </w:t>
      </w:r>
      <w:r w:rsidR="00B702D1" w:rsidRPr="00276128">
        <w:rPr>
          <w:i/>
          <w:iCs/>
          <w:sz w:val="22"/>
          <w:szCs w:val="22"/>
        </w:rPr>
        <w:t xml:space="preserve">bylo </w:t>
      </w:r>
      <w:r w:rsidR="00937BA6">
        <w:rPr>
          <w:i/>
          <w:iCs/>
          <w:sz w:val="22"/>
          <w:szCs w:val="22"/>
        </w:rPr>
        <w:t>i</w:t>
      </w:r>
      <w:r w:rsidR="00AA53CA" w:rsidRPr="00276128">
        <w:rPr>
          <w:i/>
          <w:iCs/>
          <w:sz w:val="22"/>
          <w:szCs w:val="22"/>
        </w:rPr>
        <w:t xml:space="preserve"> </w:t>
      </w:r>
      <w:r w:rsidR="00790F17" w:rsidRPr="00276128">
        <w:rPr>
          <w:i/>
          <w:iCs/>
          <w:sz w:val="22"/>
          <w:szCs w:val="22"/>
        </w:rPr>
        <w:t xml:space="preserve">překonání finanční krize </w:t>
      </w:r>
      <w:r w:rsidR="00495249" w:rsidRPr="00276128">
        <w:rPr>
          <w:i/>
          <w:iCs/>
          <w:sz w:val="22"/>
          <w:szCs w:val="22"/>
        </w:rPr>
        <w:t>z roku</w:t>
      </w:r>
      <w:r w:rsidR="00790F17" w:rsidRPr="00276128">
        <w:rPr>
          <w:i/>
          <w:iCs/>
          <w:sz w:val="22"/>
          <w:szCs w:val="22"/>
        </w:rPr>
        <w:t xml:space="preserve"> 2008</w:t>
      </w:r>
      <w:r w:rsidR="00AC4CFC" w:rsidRPr="00276128">
        <w:rPr>
          <w:i/>
          <w:iCs/>
          <w:sz w:val="22"/>
          <w:szCs w:val="22"/>
        </w:rPr>
        <w:t xml:space="preserve">. Ta </w:t>
      </w:r>
      <w:r w:rsidR="00495249" w:rsidRPr="00276128">
        <w:rPr>
          <w:i/>
          <w:iCs/>
          <w:sz w:val="22"/>
          <w:szCs w:val="22"/>
        </w:rPr>
        <w:t xml:space="preserve">sice </w:t>
      </w:r>
      <w:r w:rsidR="005F1B09" w:rsidRPr="00276128">
        <w:rPr>
          <w:i/>
          <w:iCs/>
          <w:sz w:val="22"/>
          <w:szCs w:val="22"/>
        </w:rPr>
        <w:t xml:space="preserve">na </w:t>
      </w:r>
      <w:r w:rsidR="00F932D4" w:rsidRPr="002B7CB9">
        <w:rPr>
          <w:i/>
          <w:iCs/>
          <w:sz w:val="22"/>
          <w:szCs w:val="22"/>
        </w:rPr>
        <w:t xml:space="preserve">celé </w:t>
      </w:r>
      <w:r w:rsidR="005F1B09" w:rsidRPr="002B7CB9">
        <w:rPr>
          <w:i/>
          <w:iCs/>
          <w:sz w:val="22"/>
          <w:szCs w:val="22"/>
        </w:rPr>
        <w:t>tři</w:t>
      </w:r>
      <w:r w:rsidR="005F1B09" w:rsidRPr="00276128">
        <w:rPr>
          <w:i/>
          <w:iCs/>
          <w:sz w:val="22"/>
          <w:szCs w:val="22"/>
        </w:rPr>
        <w:t xml:space="preserve"> roky </w:t>
      </w:r>
      <w:r w:rsidR="00495249" w:rsidRPr="00276128">
        <w:rPr>
          <w:i/>
          <w:iCs/>
          <w:sz w:val="22"/>
          <w:szCs w:val="22"/>
        </w:rPr>
        <w:t xml:space="preserve">utlumila investiční aktivity, ale trh </w:t>
      </w:r>
      <w:r w:rsidR="005F1B09" w:rsidRPr="00276128">
        <w:rPr>
          <w:i/>
          <w:iCs/>
          <w:sz w:val="22"/>
          <w:szCs w:val="22"/>
        </w:rPr>
        <w:t xml:space="preserve">z ní </w:t>
      </w:r>
      <w:r w:rsidR="00937BA6">
        <w:rPr>
          <w:i/>
          <w:iCs/>
          <w:sz w:val="22"/>
          <w:szCs w:val="22"/>
        </w:rPr>
        <w:t xml:space="preserve">nakonec </w:t>
      </w:r>
      <w:r w:rsidR="005F1B09" w:rsidRPr="00276128">
        <w:rPr>
          <w:i/>
          <w:iCs/>
          <w:sz w:val="22"/>
          <w:szCs w:val="22"/>
        </w:rPr>
        <w:t>vyšel</w:t>
      </w:r>
      <w:r w:rsidR="00AC4CFC" w:rsidRPr="00276128">
        <w:rPr>
          <w:i/>
          <w:iCs/>
          <w:sz w:val="22"/>
          <w:szCs w:val="22"/>
        </w:rPr>
        <w:t xml:space="preserve"> ještě silnější. </w:t>
      </w:r>
      <w:r w:rsidR="00042DA7">
        <w:rPr>
          <w:i/>
          <w:iCs/>
          <w:sz w:val="22"/>
          <w:szCs w:val="22"/>
        </w:rPr>
        <w:t>Navíc p</w:t>
      </w:r>
      <w:r w:rsidR="002D43C6" w:rsidRPr="00276128">
        <w:rPr>
          <w:i/>
          <w:iCs/>
          <w:sz w:val="22"/>
          <w:szCs w:val="22"/>
        </w:rPr>
        <w:t>rávě v</w:t>
      </w:r>
      <w:r w:rsidR="00495249" w:rsidRPr="00276128">
        <w:rPr>
          <w:i/>
          <w:iCs/>
          <w:sz w:val="22"/>
          <w:szCs w:val="22"/>
        </w:rPr>
        <w:t> té</w:t>
      </w:r>
      <w:r w:rsidR="00042DA7">
        <w:rPr>
          <w:i/>
          <w:iCs/>
          <w:sz w:val="22"/>
          <w:szCs w:val="22"/>
        </w:rPr>
        <w:t>to</w:t>
      </w:r>
      <w:r w:rsidR="00495249" w:rsidRPr="00276128">
        <w:rPr>
          <w:i/>
          <w:iCs/>
          <w:sz w:val="22"/>
          <w:szCs w:val="22"/>
        </w:rPr>
        <w:t xml:space="preserve"> době se začali objevovat </w:t>
      </w:r>
      <w:r w:rsidR="000C6C0B">
        <w:rPr>
          <w:i/>
          <w:iCs/>
          <w:sz w:val="22"/>
          <w:szCs w:val="22"/>
        </w:rPr>
        <w:t>lokální</w:t>
      </w:r>
      <w:r w:rsidR="00495249" w:rsidRPr="00276128">
        <w:rPr>
          <w:i/>
          <w:iCs/>
          <w:sz w:val="22"/>
          <w:szCs w:val="22"/>
        </w:rPr>
        <w:t xml:space="preserve"> investoři a </w:t>
      </w:r>
      <w:r w:rsidR="005D0148">
        <w:rPr>
          <w:i/>
          <w:iCs/>
          <w:sz w:val="22"/>
          <w:szCs w:val="22"/>
        </w:rPr>
        <w:t xml:space="preserve">získávat </w:t>
      </w:r>
      <w:r w:rsidR="00920BAB">
        <w:rPr>
          <w:i/>
          <w:iCs/>
          <w:sz w:val="22"/>
          <w:szCs w:val="22"/>
        </w:rPr>
        <w:t xml:space="preserve">svůj </w:t>
      </w:r>
      <w:r w:rsidR="005D0148">
        <w:rPr>
          <w:i/>
          <w:iCs/>
          <w:sz w:val="22"/>
          <w:szCs w:val="22"/>
        </w:rPr>
        <w:t>vliv</w:t>
      </w:r>
      <w:r w:rsidR="003945A2">
        <w:rPr>
          <w:i/>
          <w:iCs/>
          <w:sz w:val="22"/>
          <w:szCs w:val="22"/>
        </w:rPr>
        <w:t xml:space="preserve">,“ </w:t>
      </w:r>
      <w:r w:rsidR="00495249" w:rsidRPr="00276128">
        <w:rPr>
          <w:sz w:val="22"/>
          <w:szCs w:val="22"/>
        </w:rPr>
        <w:t xml:space="preserve">komentuje </w:t>
      </w:r>
      <w:r w:rsidR="00055A0F" w:rsidRPr="00276128">
        <w:rPr>
          <w:b/>
          <w:bCs/>
          <w:sz w:val="22"/>
          <w:szCs w:val="22"/>
        </w:rPr>
        <w:t>Jakub Stanislav, vedoucí v investičním oddělení v</w:t>
      </w:r>
      <w:r w:rsidR="00AF5EF6">
        <w:rPr>
          <w:b/>
          <w:bCs/>
          <w:sz w:val="22"/>
          <w:szCs w:val="22"/>
        </w:rPr>
        <w:t> </w:t>
      </w:r>
      <w:r w:rsidR="00055A0F" w:rsidRPr="00276128">
        <w:rPr>
          <w:b/>
          <w:bCs/>
          <w:sz w:val="22"/>
          <w:szCs w:val="22"/>
        </w:rPr>
        <w:t>CBRE</w:t>
      </w:r>
      <w:r w:rsidR="00D84047" w:rsidRPr="00276128">
        <w:rPr>
          <w:sz w:val="22"/>
          <w:szCs w:val="22"/>
        </w:rPr>
        <w:t>.</w:t>
      </w:r>
      <w:r w:rsidR="00D84047" w:rsidRPr="00276128">
        <w:rPr>
          <w:sz w:val="22"/>
          <w:szCs w:val="22"/>
        </w:rPr>
        <w:br/>
      </w:r>
    </w:p>
    <w:p w14:paraId="317F381E" w14:textId="6F83AEDF" w:rsidR="001B0FFE" w:rsidRDefault="009F7E8F" w:rsidP="00D84047">
      <w:pPr>
        <w:pStyle w:val="BodyCopy"/>
        <w:rPr>
          <w:sz w:val="22"/>
          <w:szCs w:val="22"/>
        </w:rPr>
      </w:pPr>
      <w:r w:rsidRPr="00276128">
        <w:rPr>
          <w:sz w:val="22"/>
          <w:szCs w:val="22"/>
        </w:rPr>
        <w:t xml:space="preserve">Historicky nejsilnější </w:t>
      </w:r>
      <w:r w:rsidR="00AA53CA" w:rsidRPr="00276128">
        <w:rPr>
          <w:sz w:val="22"/>
          <w:szCs w:val="22"/>
        </w:rPr>
        <w:t xml:space="preserve">byly roky </w:t>
      </w:r>
      <w:r w:rsidRPr="00276128">
        <w:rPr>
          <w:sz w:val="22"/>
          <w:szCs w:val="22"/>
        </w:rPr>
        <w:t>2016,</w:t>
      </w:r>
      <w:r w:rsidR="0061455A" w:rsidRPr="00276128">
        <w:rPr>
          <w:sz w:val="22"/>
          <w:szCs w:val="22"/>
        </w:rPr>
        <w:t xml:space="preserve"> </w:t>
      </w:r>
      <w:r w:rsidRPr="00276128">
        <w:rPr>
          <w:sz w:val="22"/>
          <w:szCs w:val="22"/>
        </w:rPr>
        <w:t>20</w:t>
      </w:r>
      <w:r w:rsidR="00AC4CFC" w:rsidRPr="00276128">
        <w:rPr>
          <w:sz w:val="22"/>
          <w:szCs w:val="22"/>
        </w:rPr>
        <w:t>1</w:t>
      </w:r>
      <w:r w:rsidRPr="00276128">
        <w:rPr>
          <w:sz w:val="22"/>
          <w:szCs w:val="22"/>
        </w:rPr>
        <w:t>7 a 2019</w:t>
      </w:r>
      <w:r w:rsidR="00D84047" w:rsidRPr="00276128">
        <w:rPr>
          <w:sz w:val="22"/>
          <w:szCs w:val="22"/>
        </w:rPr>
        <w:t>. Průměrně se v tuzemsku proinvestuje kolem 1,9 miliard euro</w:t>
      </w:r>
      <w:r w:rsidR="00920BAB">
        <w:rPr>
          <w:sz w:val="22"/>
          <w:szCs w:val="22"/>
        </w:rPr>
        <w:t xml:space="preserve"> ročně</w:t>
      </w:r>
      <w:r w:rsidR="00AA53CA" w:rsidRPr="00276128">
        <w:rPr>
          <w:sz w:val="22"/>
          <w:szCs w:val="22"/>
        </w:rPr>
        <w:t>,</w:t>
      </w:r>
      <w:r w:rsidR="00D84047" w:rsidRPr="00276128">
        <w:rPr>
          <w:sz w:val="22"/>
          <w:szCs w:val="22"/>
        </w:rPr>
        <w:t xml:space="preserve"> ale v těchto letech </w:t>
      </w:r>
      <w:r w:rsidR="00000618">
        <w:rPr>
          <w:sz w:val="22"/>
          <w:szCs w:val="22"/>
        </w:rPr>
        <w:t xml:space="preserve">prolomil </w:t>
      </w:r>
      <w:r w:rsidR="00AA53CA" w:rsidRPr="00276128">
        <w:rPr>
          <w:sz w:val="22"/>
          <w:szCs w:val="22"/>
        </w:rPr>
        <w:t xml:space="preserve">celkový objem investic hranici </w:t>
      </w:r>
      <w:r w:rsidRPr="00276128">
        <w:rPr>
          <w:sz w:val="22"/>
          <w:szCs w:val="22"/>
        </w:rPr>
        <w:t xml:space="preserve">3 miliard. </w:t>
      </w:r>
      <w:r w:rsidR="001B0FFE" w:rsidRPr="001B0FFE">
        <w:rPr>
          <w:sz w:val="22"/>
          <w:szCs w:val="22"/>
        </w:rPr>
        <w:t xml:space="preserve">Přestože podobně vysoké objemy nelze v nejbližší době očekávat, trh </w:t>
      </w:r>
      <w:r w:rsidR="000C6C0B">
        <w:rPr>
          <w:sz w:val="22"/>
          <w:szCs w:val="22"/>
        </w:rPr>
        <w:t>se nachází</w:t>
      </w:r>
      <w:r w:rsidR="001B0FFE" w:rsidRPr="001B0FFE">
        <w:rPr>
          <w:sz w:val="22"/>
          <w:szCs w:val="22"/>
        </w:rPr>
        <w:t xml:space="preserve"> v dobré kondici </w:t>
      </w:r>
      <w:r w:rsidR="00DF56EE">
        <w:rPr>
          <w:sz w:val="22"/>
          <w:szCs w:val="22"/>
        </w:rPr>
        <w:t>a má</w:t>
      </w:r>
      <w:r w:rsidR="000C6C0B">
        <w:rPr>
          <w:sz w:val="22"/>
          <w:szCs w:val="22"/>
        </w:rPr>
        <w:t> potenciál</w:t>
      </w:r>
      <w:r w:rsidR="00DF56EE">
        <w:rPr>
          <w:sz w:val="22"/>
          <w:szCs w:val="22"/>
        </w:rPr>
        <w:t xml:space="preserve"> </w:t>
      </w:r>
      <w:r w:rsidR="001B0FFE" w:rsidRPr="001B0FFE">
        <w:rPr>
          <w:sz w:val="22"/>
          <w:szCs w:val="22"/>
        </w:rPr>
        <w:t>pro další růst.</w:t>
      </w:r>
    </w:p>
    <w:p w14:paraId="59EC880C" w14:textId="77777777" w:rsidR="000C6C0B" w:rsidRPr="00276128" w:rsidRDefault="000C6C0B" w:rsidP="00D84047">
      <w:pPr>
        <w:pStyle w:val="BodyCopy"/>
        <w:rPr>
          <w:sz w:val="22"/>
          <w:szCs w:val="22"/>
        </w:rPr>
      </w:pPr>
    </w:p>
    <w:p w14:paraId="7FA75876" w14:textId="553CCA90" w:rsidR="006A33FB" w:rsidRDefault="00D84047" w:rsidP="00C80365">
      <w:pPr>
        <w:pStyle w:val="BodyCopy"/>
        <w:rPr>
          <w:sz w:val="22"/>
          <w:szCs w:val="22"/>
        </w:rPr>
      </w:pPr>
      <w:r w:rsidRPr="00276128">
        <w:rPr>
          <w:i/>
          <w:iCs/>
          <w:sz w:val="22"/>
          <w:szCs w:val="22"/>
        </w:rPr>
        <w:t>„</w:t>
      </w:r>
      <w:r w:rsidR="00DF56EE">
        <w:rPr>
          <w:i/>
          <w:iCs/>
          <w:sz w:val="22"/>
          <w:szCs w:val="22"/>
        </w:rPr>
        <w:t>T</w:t>
      </w:r>
      <w:r w:rsidR="00DF56EE" w:rsidRPr="00276128">
        <w:rPr>
          <w:i/>
          <w:iCs/>
          <w:sz w:val="22"/>
          <w:szCs w:val="22"/>
        </w:rPr>
        <w:t>ransakcím</w:t>
      </w:r>
      <w:r w:rsidR="00DF56EE">
        <w:rPr>
          <w:i/>
          <w:iCs/>
          <w:sz w:val="22"/>
          <w:szCs w:val="22"/>
        </w:rPr>
        <w:t xml:space="preserve"> dlouhodobě dominují </w:t>
      </w:r>
      <w:r w:rsidR="00970A02" w:rsidRPr="00970A02">
        <w:rPr>
          <w:i/>
          <w:iCs/>
          <w:sz w:val="22"/>
          <w:szCs w:val="22"/>
        </w:rPr>
        <w:t>standardní komerční sektory</w:t>
      </w:r>
      <w:r w:rsidR="00970A02">
        <w:rPr>
          <w:i/>
          <w:iCs/>
          <w:sz w:val="22"/>
          <w:szCs w:val="22"/>
        </w:rPr>
        <w:t xml:space="preserve">, tedy </w:t>
      </w:r>
      <w:r w:rsidR="00970A02" w:rsidRPr="00970A02">
        <w:rPr>
          <w:i/>
          <w:iCs/>
          <w:sz w:val="22"/>
          <w:szCs w:val="22"/>
        </w:rPr>
        <w:t xml:space="preserve">kanceláře, </w:t>
      </w:r>
      <w:r w:rsidR="00970A02">
        <w:rPr>
          <w:i/>
          <w:iCs/>
          <w:sz w:val="22"/>
          <w:szCs w:val="22"/>
        </w:rPr>
        <w:t>obchodní centra</w:t>
      </w:r>
      <w:r w:rsidR="00970A02" w:rsidRPr="00970A02">
        <w:rPr>
          <w:i/>
          <w:iCs/>
          <w:sz w:val="22"/>
          <w:szCs w:val="22"/>
        </w:rPr>
        <w:t xml:space="preserve"> neb</w:t>
      </w:r>
      <w:r w:rsidR="00970A02">
        <w:rPr>
          <w:i/>
          <w:iCs/>
          <w:sz w:val="22"/>
          <w:szCs w:val="22"/>
        </w:rPr>
        <w:t>o průmyslové a logistické nemovitosti</w:t>
      </w:r>
      <w:r w:rsidR="006A33FB" w:rsidRPr="00276128">
        <w:rPr>
          <w:i/>
          <w:iCs/>
          <w:sz w:val="22"/>
          <w:szCs w:val="22"/>
        </w:rPr>
        <w:t xml:space="preserve">. </w:t>
      </w:r>
      <w:r w:rsidR="00DF56EE">
        <w:rPr>
          <w:i/>
          <w:iCs/>
          <w:sz w:val="22"/>
          <w:szCs w:val="22"/>
        </w:rPr>
        <w:t>Ovšem</w:t>
      </w:r>
      <w:r w:rsidR="006A33FB" w:rsidRPr="00276128">
        <w:rPr>
          <w:i/>
          <w:iCs/>
          <w:sz w:val="22"/>
          <w:szCs w:val="22"/>
        </w:rPr>
        <w:t xml:space="preserve"> </w:t>
      </w:r>
      <w:r w:rsidR="00DF56EE" w:rsidRPr="00276128">
        <w:rPr>
          <w:i/>
          <w:iCs/>
          <w:sz w:val="22"/>
          <w:szCs w:val="22"/>
        </w:rPr>
        <w:t>v posledních letech začali</w:t>
      </w:r>
      <w:r w:rsidR="00DF56EE">
        <w:rPr>
          <w:i/>
          <w:iCs/>
          <w:sz w:val="22"/>
          <w:szCs w:val="22"/>
        </w:rPr>
        <w:t xml:space="preserve"> </w:t>
      </w:r>
      <w:r w:rsidR="006A33FB" w:rsidRPr="00276128">
        <w:rPr>
          <w:i/>
          <w:iCs/>
          <w:sz w:val="22"/>
          <w:szCs w:val="22"/>
        </w:rPr>
        <w:t xml:space="preserve">investoři klást větší důraz na diverzifikaci portfolia tak, aby minimalizovali rizika spojená s ekonomickými výkyvy. </w:t>
      </w:r>
      <w:r w:rsidR="00C452C9" w:rsidRPr="00276128">
        <w:rPr>
          <w:i/>
          <w:iCs/>
          <w:sz w:val="22"/>
          <w:szCs w:val="22"/>
        </w:rPr>
        <w:t xml:space="preserve">I díky </w:t>
      </w:r>
      <w:r w:rsidR="006A33FB" w:rsidRPr="00276128">
        <w:rPr>
          <w:i/>
          <w:iCs/>
          <w:sz w:val="22"/>
          <w:szCs w:val="22"/>
        </w:rPr>
        <w:t>tomu</w:t>
      </w:r>
      <w:r w:rsidR="00C452C9" w:rsidRPr="00276128">
        <w:rPr>
          <w:i/>
          <w:iCs/>
          <w:sz w:val="22"/>
          <w:szCs w:val="22"/>
        </w:rPr>
        <w:t xml:space="preserve"> </w:t>
      </w:r>
      <w:r w:rsidR="00DF56EE">
        <w:rPr>
          <w:i/>
          <w:iCs/>
          <w:sz w:val="22"/>
          <w:szCs w:val="22"/>
        </w:rPr>
        <w:t>roste</w:t>
      </w:r>
      <w:r w:rsidR="006A33FB" w:rsidRPr="00276128">
        <w:rPr>
          <w:i/>
          <w:iCs/>
          <w:sz w:val="22"/>
          <w:szCs w:val="22"/>
        </w:rPr>
        <w:t xml:space="preserve"> zájem o </w:t>
      </w:r>
      <w:r w:rsidR="00DF56EE">
        <w:rPr>
          <w:i/>
          <w:iCs/>
          <w:sz w:val="22"/>
          <w:szCs w:val="22"/>
        </w:rPr>
        <w:t xml:space="preserve">investování </w:t>
      </w:r>
      <w:r w:rsidR="00DF56EE" w:rsidRPr="00276128">
        <w:rPr>
          <w:i/>
          <w:iCs/>
          <w:sz w:val="22"/>
          <w:szCs w:val="22"/>
        </w:rPr>
        <w:t xml:space="preserve">do alternativních segmentů </w:t>
      </w:r>
      <w:r w:rsidR="00DF56EE">
        <w:rPr>
          <w:i/>
          <w:iCs/>
          <w:sz w:val="22"/>
          <w:szCs w:val="22"/>
        </w:rPr>
        <w:t>jako jsou nájemní rezidence, studentské kampusy či</w:t>
      </w:r>
      <w:r w:rsidR="006A33FB" w:rsidRPr="00276128">
        <w:rPr>
          <w:i/>
          <w:iCs/>
          <w:sz w:val="22"/>
          <w:szCs w:val="22"/>
        </w:rPr>
        <w:t xml:space="preserve"> zdravotnická zařízení. </w:t>
      </w:r>
      <w:r w:rsidR="00791D9E">
        <w:rPr>
          <w:i/>
          <w:iCs/>
          <w:sz w:val="22"/>
          <w:szCs w:val="22"/>
        </w:rPr>
        <w:t>Současně nabývá na významu udržitelnost projektů. E</w:t>
      </w:r>
      <w:r w:rsidR="00791D9E" w:rsidRPr="00276128">
        <w:rPr>
          <w:i/>
          <w:iCs/>
          <w:sz w:val="22"/>
          <w:szCs w:val="22"/>
        </w:rPr>
        <w:t>nergetick</w:t>
      </w:r>
      <w:r w:rsidR="00791D9E">
        <w:rPr>
          <w:i/>
          <w:iCs/>
          <w:sz w:val="22"/>
          <w:szCs w:val="22"/>
        </w:rPr>
        <w:t xml:space="preserve">é </w:t>
      </w:r>
      <w:r w:rsidR="00791D9E" w:rsidRPr="00276128">
        <w:rPr>
          <w:i/>
          <w:iCs/>
          <w:sz w:val="22"/>
          <w:szCs w:val="22"/>
        </w:rPr>
        <w:t>certifikát</w:t>
      </w:r>
      <w:r w:rsidR="00791D9E">
        <w:rPr>
          <w:i/>
          <w:iCs/>
          <w:sz w:val="22"/>
          <w:szCs w:val="22"/>
        </w:rPr>
        <w:t>y</w:t>
      </w:r>
      <w:r w:rsidR="00791D9E" w:rsidRPr="00276128">
        <w:rPr>
          <w:i/>
          <w:iCs/>
          <w:sz w:val="22"/>
          <w:szCs w:val="22"/>
        </w:rPr>
        <w:t xml:space="preserve"> a mezinárodní certifikace jako BREEAM nebo LEED se stávají </w:t>
      </w:r>
      <w:r w:rsidR="003945A2">
        <w:rPr>
          <w:i/>
          <w:iCs/>
          <w:sz w:val="22"/>
          <w:szCs w:val="22"/>
        </w:rPr>
        <w:t>klíčovým</w:t>
      </w:r>
      <w:r w:rsidR="00791D9E">
        <w:rPr>
          <w:i/>
          <w:iCs/>
          <w:sz w:val="22"/>
          <w:szCs w:val="22"/>
        </w:rPr>
        <w:t xml:space="preserve"> kritériem při hodnocení investičních příležitostí</w:t>
      </w:r>
      <w:r w:rsidR="00C452C9" w:rsidRPr="00276128">
        <w:rPr>
          <w:i/>
          <w:iCs/>
          <w:sz w:val="22"/>
          <w:szCs w:val="22"/>
        </w:rPr>
        <w:t>,“</w:t>
      </w:r>
      <w:r w:rsidR="00C452C9" w:rsidRPr="00276128">
        <w:rPr>
          <w:sz w:val="22"/>
          <w:szCs w:val="22"/>
        </w:rPr>
        <w:t xml:space="preserve"> uvádí </w:t>
      </w:r>
      <w:r w:rsidR="00C452C9" w:rsidRPr="00276128">
        <w:rPr>
          <w:b/>
          <w:bCs/>
          <w:sz w:val="22"/>
          <w:szCs w:val="22"/>
        </w:rPr>
        <w:t>Stanislav</w:t>
      </w:r>
      <w:r w:rsidR="00C452C9" w:rsidRPr="00276128">
        <w:rPr>
          <w:sz w:val="22"/>
          <w:szCs w:val="22"/>
        </w:rPr>
        <w:t>.</w:t>
      </w:r>
    </w:p>
    <w:p w14:paraId="47FC0A70" w14:textId="77777777" w:rsidR="009F4C28" w:rsidRDefault="009F4C28" w:rsidP="00C80365">
      <w:pPr>
        <w:pStyle w:val="BodyCopy"/>
        <w:rPr>
          <w:sz w:val="22"/>
          <w:szCs w:val="22"/>
        </w:rPr>
      </w:pPr>
    </w:p>
    <w:p w14:paraId="2B61720D" w14:textId="667072D2" w:rsidR="009F4C28" w:rsidRPr="00002F8F" w:rsidRDefault="009F4C28" w:rsidP="001E01E3">
      <w:pPr>
        <w:pStyle w:val="Body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EE" w:themeFill="background2" w:themeFillTint="33"/>
        <w:spacing w:before="80"/>
        <w:rPr>
          <w:sz w:val="22"/>
          <w:szCs w:val="22"/>
        </w:rPr>
      </w:pPr>
      <w:r w:rsidRPr="005B18C9">
        <w:rPr>
          <w:b/>
          <w:bCs/>
          <w:sz w:val="22"/>
          <w:szCs w:val="22"/>
        </w:rPr>
        <w:t xml:space="preserve">CBRE </w:t>
      </w:r>
      <w:r>
        <w:rPr>
          <w:b/>
          <w:bCs/>
          <w:sz w:val="22"/>
          <w:szCs w:val="22"/>
        </w:rPr>
        <w:t>stála za řadou největších transakcí uskutečněných na tuzemském realitním trhu</w:t>
      </w:r>
      <w:r>
        <w:rPr>
          <w:sz w:val="22"/>
          <w:szCs w:val="22"/>
        </w:rPr>
        <w:br/>
        <w:t>Ať už šlo o prodej obchodních center Palladium, Palác Flora, OC Letňany, Arkády Pankrác, Forum Nová Karolina, logistických parků napříč regiony či třeba kancelářského komplexu Waltrovka, CBRE byla u toho.</w:t>
      </w:r>
    </w:p>
    <w:p w14:paraId="7054BD40" w14:textId="77777777" w:rsidR="006A33FB" w:rsidRPr="00276128" w:rsidRDefault="006A33FB" w:rsidP="00C80365">
      <w:pPr>
        <w:pStyle w:val="BodyCopy"/>
        <w:rPr>
          <w:sz w:val="22"/>
          <w:szCs w:val="22"/>
        </w:rPr>
      </w:pPr>
    </w:p>
    <w:p w14:paraId="2C90FF6D" w14:textId="18B1A71C" w:rsidR="00F40C12" w:rsidRDefault="00F40C12" w:rsidP="006A7E89">
      <w:pPr>
        <w:pStyle w:val="BodyCopy"/>
        <w:rPr>
          <w:b/>
          <w:bCs/>
          <w:sz w:val="22"/>
          <w:szCs w:val="22"/>
        </w:rPr>
      </w:pPr>
      <w:r w:rsidRPr="00F40C12">
        <w:rPr>
          <w:b/>
          <w:bCs/>
          <w:sz w:val="22"/>
          <w:szCs w:val="22"/>
        </w:rPr>
        <w:t xml:space="preserve">Proměny kancelářského trhu: </w:t>
      </w:r>
      <w:r>
        <w:rPr>
          <w:b/>
          <w:bCs/>
          <w:sz w:val="22"/>
          <w:szCs w:val="22"/>
        </w:rPr>
        <w:t xml:space="preserve">objevování nových lokalit, pracovních modelů </w:t>
      </w:r>
      <w:r w:rsidR="00E352AB">
        <w:rPr>
          <w:b/>
          <w:bCs/>
          <w:sz w:val="22"/>
          <w:szCs w:val="22"/>
        </w:rPr>
        <w:t>i coworkingu</w:t>
      </w:r>
    </w:p>
    <w:p w14:paraId="7B652DE1" w14:textId="42D8FC15" w:rsidR="00CB7A4F" w:rsidRDefault="00387706" w:rsidP="006A7E89">
      <w:pPr>
        <w:pStyle w:val="BodyCopy"/>
        <w:rPr>
          <w:sz w:val="22"/>
          <w:szCs w:val="22"/>
        </w:rPr>
      </w:pPr>
      <w:r w:rsidRPr="00ED4848">
        <w:rPr>
          <w:sz w:val="22"/>
          <w:szCs w:val="22"/>
        </w:rPr>
        <w:t>V roce 1999</w:t>
      </w:r>
      <w:r>
        <w:rPr>
          <w:sz w:val="22"/>
          <w:szCs w:val="22"/>
        </w:rPr>
        <w:t xml:space="preserve">, kdy CBRE otevřela tuzemskou pobočku, </w:t>
      </w:r>
      <w:r w:rsidRPr="00ED4848">
        <w:rPr>
          <w:sz w:val="22"/>
          <w:szCs w:val="22"/>
        </w:rPr>
        <w:t>bylo v Praze k dispozici 1,3 mili</w:t>
      </w:r>
      <w:r w:rsidR="00000618">
        <w:rPr>
          <w:sz w:val="22"/>
          <w:szCs w:val="22"/>
        </w:rPr>
        <w:t>o</w:t>
      </w:r>
      <w:r w:rsidRPr="00ED4848">
        <w:rPr>
          <w:sz w:val="22"/>
          <w:szCs w:val="22"/>
        </w:rPr>
        <w:t>n</w:t>
      </w:r>
      <w:r w:rsidR="00000618">
        <w:rPr>
          <w:sz w:val="22"/>
          <w:szCs w:val="22"/>
        </w:rPr>
        <w:t>ů</w:t>
      </w:r>
      <w:r w:rsidRPr="00ED4848">
        <w:rPr>
          <w:sz w:val="22"/>
          <w:szCs w:val="22"/>
        </w:rPr>
        <w:t xml:space="preserve"> m</w:t>
      </w:r>
      <w:r w:rsidRPr="00387706">
        <w:rPr>
          <w:sz w:val="22"/>
          <w:szCs w:val="22"/>
          <w:vertAlign w:val="superscript"/>
        </w:rPr>
        <w:t>2</w:t>
      </w:r>
      <w:r w:rsidRPr="00ED4848">
        <w:rPr>
          <w:sz w:val="22"/>
          <w:szCs w:val="22"/>
        </w:rPr>
        <w:t xml:space="preserve"> </w:t>
      </w:r>
      <w:r w:rsidR="006A7E89">
        <w:rPr>
          <w:sz w:val="22"/>
          <w:szCs w:val="22"/>
        </w:rPr>
        <w:t>administrativních</w:t>
      </w:r>
      <w:r w:rsidRPr="00ED4848">
        <w:rPr>
          <w:sz w:val="22"/>
          <w:szCs w:val="22"/>
        </w:rPr>
        <w:t xml:space="preserve"> prostor</w:t>
      </w:r>
      <w:r>
        <w:rPr>
          <w:sz w:val="22"/>
          <w:szCs w:val="22"/>
        </w:rPr>
        <w:t>, z</w:t>
      </w:r>
      <w:r w:rsidR="006A7E89">
        <w:rPr>
          <w:sz w:val="22"/>
          <w:szCs w:val="22"/>
        </w:rPr>
        <w:t> </w:t>
      </w:r>
      <w:r>
        <w:rPr>
          <w:sz w:val="22"/>
          <w:szCs w:val="22"/>
        </w:rPr>
        <w:t>toho</w:t>
      </w:r>
      <w:r w:rsidR="006A7E89">
        <w:rPr>
          <w:sz w:val="22"/>
          <w:szCs w:val="22"/>
        </w:rPr>
        <w:t xml:space="preserve"> téměř třetina </w:t>
      </w:r>
      <w:r w:rsidR="00CB7A4F">
        <w:rPr>
          <w:sz w:val="22"/>
          <w:szCs w:val="22"/>
        </w:rPr>
        <w:t>přímo v</w:t>
      </w:r>
      <w:r w:rsidR="006A7E89">
        <w:rPr>
          <w:sz w:val="22"/>
          <w:szCs w:val="22"/>
        </w:rPr>
        <w:t xml:space="preserve"> centru</w:t>
      </w:r>
      <w:r w:rsidRPr="00ED484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Od té doby </w:t>
      </w:r>
      <w:r w:rsidR="006A7E89">
        <w:rPr>
          <w:sz w:val="22"/>
          <w:szCs w:val="22"/>
        </w:rPr>
        <w:t xml:space="preserve">začaly vznikat významné kancelářské </w:t>
      </w:r>
      <w:r w:rsidR="00F40C12">
        <w:rPr>
          <w:sz w:val="22"/>
          <w:szCs w:val="22"/>
        </w:rPr>
        <w:t xml:space="preserve">huby, kterých má metropole </w:t>
      </w:r>
      <w:r w:rsidR="00CB7A4F">
        <w:rPr>
          <w:sz w:val="22"/>
          <w:szCs w:val="22"/>
        </w:rPr>
        <w:t>aktuálně</w:t>
      </w:r>
      <w:r w:rsidR="00F40C12">
        <w:rPr>
          <w:sz w:val="22"/>
          <w:szCs w:val="22"/>
        </w:rPr>
        <w:t xml:space="preserve"> jedenáct. Ať už jde o </w:t>
      </w:r>
      <w:r w:rsidR="006A7E89">
        <w:rPr>
          <w:sz w:val="22"/>
          <w:szCs w:val="22"/>
        </w:rPr>
        <w:t>Pankrác-Budějovick</w:t>
      </w:r>
      <w:r w:rsidR="00F40C12">
        <w:rPr>
          <w:sz w:val="22"/>
          <w:szCs w:val="22"/>
        </w:rPr>
        <w:t xml:space="preserve">ou, </w:t>
      </w:r>
      <w:r w:rsidR="006A7E89">
        <w:rPr>
          <w:sz w:val="22"/>
          <w:szCs w:val="22"/>
        </w:rPr>
        <w:t xml:space="preserve">Karlín </w:t>
      </w:r>
      <w:r w:rsidR="00F40C12">
        <w:rPr>
          <w:sz w:val="22"/>
          <w:szCs w:val="22"/>
        </w:rPr>
        <w:t>či další lokality, c</w:t>
      </w:r>
      <w:r w:rsidR="00ED4848" w:rsidRPr="00ED4848">
        <w:rPr>
          <w:sz w:val="22"/>
          <w:szCs w:val="22"/>
        </w:rPr>
        <w:t>elková p</w:t>
      </w:r>
      <w:r w:rsidR="006A7E89">
        <w:rPr>
          <w:sz w:val="22"/>
          <w:szCs w:val="22"/>
        </w:rPr>
        <w:t xml:space="preserve">ronajímatelná plocha se </w:t>
      </w:r>
      <w:r>
        <w:rPr>
          <w:sz w:val="22"/>
          <w:szCs w:val="22"/>
        </w:rPr>
        <w:t xml:space="preserve">ztrojnásobila </w:t>
      </w:r>
      <w:r w:rsidR="00ED4848" w:rsidRPr="00ED4848">
        <w:rPr>
          <w:sz w:val="22"/>
          <w:szCs w:val="22"/>
        </w:rPr>
        <w:t xml:space="preserve">na </w:t>
      </w:r>
      <w:r w:rsidR="003945A2">
        <w:rPr>
          <w:sz w:val="22"/>
          <w:szCs w:val="22"/>
        </w:rPr>
        <w:t>současných</w:t>
      </w:r>
      <w:r w:rsidR="00CB7A4F">
        <w:rPr>
          <w:sz w:val="22"/>
          <w:szCs w:val="22"/>
        </w:rPr>
        <w:t xml:space="preserve"> </w:t>
      </w:r>
      <w:r w:rsidR="00ED4848" w:rsidRPr="00ED4848">
        <w:rPr>
          <w:sz w:val="22"/>
          <w:szCs w:val="22"/>
        </w:rPr>
        <w:t xml:space="preserve">3,9 milionů m². </w:t>
      </w:r>
      <w:r w:rsidR="00FD43D7">
        <w:rPr>
          <w:sz w:val="22"/>
          <w:szCs w:val="22"/>
        </w:rPr>
        <w:t>Během</w:t>
      </w:r>
      <w:r w:rsidR="00E352AB">
        <w:rPr>
          <w:sz w:val="22"/>
          <w:szCs w:val="22"/>
        </w:rPr>
        <w:t> </w:t>
      </w:r>
      <w:r w:rsidR="00AE4BFB">
        <w:rPr>
          <w:sz w:val="22"/>
          <w:szCs w:val="22"/>
        </w:rPr>
        <w:t>uplynulých</w:t>
      </w:r>
      <w:r w:rsidR="00CB7A4F">
        <w:rPr>
          <w:sz w:val="22"/>
          <w:szCs w:val="22"/>
        </w:rPr>
        <w:t xml:space="preserve"> </w:t>
      </w:r>
      <w:r w:rsidR="00E352AB">
        <w:rPr>
          <w:sz w:val="22"/>
          <w:szCs w:val="22"/>
        </w:rPr>
        <w:t>let</w:t>
      </w:r>
      <w:r w:rsidR="00FD43D7">
        <w:rPr>
          <w:sz w:val="22"/>
          <w:szCs w:val="22"/>
        </w:rPr>
        <w:t xml:space="preserve"> </w:t>
      </w:r>
      <w:r w:rsidR="00B2605C">
        <w:rPr>
          <w:sz w:val="22"/>
          <w:szCs w:val="22"/>
        </w:rPr>
        <w:t xml:space="preserve">jsme </w:t>
      </w:r>
      <w:r w:rsidR="00B2605C" w:rsidRPr="00ED4848">
        <w:rPr>
          <w:sz w:val="22"/>
          <w:szCs w:val="22"/>
        </w:rPr>
        <w:t>zažili neuvěřitelný boom digitálních nástrojů a technologií jako jsou videokonference, cloudové služby</w:t>
      </w:r>
      <w:r w:rsidR="00B2605C">
        <w:rPr>
          <w:sz w:val="22"/>
          <w:szCs w:val="22"/>
        </w:rPr>
        <w:t xml:space="preserve"> či různé</w:t>
      </w:r>
      <w:r w:rsidR="00B2605C" w:rsidRPr="00ED4848">
        <w:rPr>
          <w:sz w:val="22"/>
          <w:szCs w:val="22"/>
        </w:rPr>
        <w:t xml:space="preserve"> kolaborativní platformy, </w:t>
      </w:r>
      <w:r w:rsidR="00FD43D7">
        <w:rPr>
          <w:sz w:val="22"/>
          <w:szCs w:val="22"/>
        </w:rPr>
        <w:t xml:space="preserve">které zjednodušují práci </w:t>
      </w:r>
      <w:r w:rsidR="00CB7A4F">
        <w:rPr>
          <w:sz w:val="22"/>
          <w:szCs w:val="22"/>
        </w:rPr>
        <w:t xml:space="preserve">jednotlivců </w:t>
      </w:r>
      <w:r w:rsidR="00FD43D7">
        <w:rPr>
          <w:sz w:val="22"/>
          <w:szCs w:val="22"/>
        </w:rPr>
        <w:t>a</w:t>
      </w:r>
      <w:r w:rsidR="00CB7A4F">
        <w:rPr>
          <w:sz w:val="22"/>
          <w:szCs w:val="22"/>
        </w:rPr>
        <w:t xml:space="preserve"> současně</w:t>
      </w:r>
      <w:r w:rsidR="00FD43D7">
        <w:rPr>
          <w:sz w:val="22"/>
          <w:szCs w:val="22"/>
        </w:rPr>
        <w:t xml:space="preserve"> </w:t>
      </w:r>
      <w:r w:rsidR="00B2605C" w:rsidRPr="00ED4848">
        <w:rPr>
          <w:sz w:val="22"/>
          <w:szCs w:val="22"/>
        </w:rPr>
        <w:t>umožňuj</w:t>
      </w:r>
      <w:r w:rsidR="00B2605C">
        <w:rPr>
          <w:sz w:val="22"/>
          <w:szCs w:val="22"/>
        </w:rPr>
        <w:t>í</w:t>
      </w:r>
      <w:r w:rsidR="00B2605C" w:rsidRPr="00ED4848">
        <w:rPr>
          <w:sz w:val="22"/>
          <w:szCs w:val="22"/>
        </w:rPr>
        <w:t xml:space="preserve"> fungování týmů na dálku</w:t>
      </w:r>
      <w:r w:rsidR="00B2605C">
        <w:rPr>
          <w:sz w:val="22"/>
          <w:szCs w:val="22"/>
        </w:rPr>
        <w:t xml:space="preserve">. </w:t>
      </w:r>
      <w:r w:rsidR="00AE06E6">
        <w:rPr>
          <w:sz w:val="22"/>
          <w:szCs w:val="22"/>
        </w:rPr>
        <w:t>To vytvořilo základ pro</w:t>
      </w:r>
      <w:r w:rsidR="006E2075">
        <w:rPr>
          <w:sz w:val="22"/>
          <w:szCs w:val="22"/>
        </w:rPr>
        <w:t> </w:t>
      </w:r>
      <w:r w:rsidR="00CB7A4F" w:rsidRPr="00CB7A4F">
        <w:rPr>
          <w:sz w:val="22"/>
          <w:szCs w:val="22"/>
        </w:rPr>
        <w:t>rostoucí popularit</w:t>
      </w:r>
      <w:r w:rsidR="00AE06E6">
        <w:rPr>
          <w:sz w:val="22"/>
          <w:szCs w:val="22"/>
        </w:rPr>
        <w:t>u</w:t>
      </w:r>
      <w:r w:rsidR="00CB7A4F" w:rsidRPr="00CB7A4F">
        <w:rPr>
          <w:sz w:val="22"/>
          <w:szCs w:val="22"/>
        </w:rPr>
        <w:t xml:space="preserve"> sdílených kanceláří a coworkingových </w:t>
      </w:r>
      <w:r w:rsidR="00000618">
        <w:rPr>
          <w:sz w:val="22"/>
          <w:szCs w:val="22"/>
        </w:rPr>
        <w:t>center,</w:t>
      </w:r>
      <w:r w:rsidR="00CB7A4F">
        <w:rPr>
          <w:sz w:val="22"/>
          <w:szCs w:val="22"/>
        </w:rPr>
        <w:t xml:space="preserve"> které momentálně tvoří </w:t>
      </w:r>
      <w:r w:rsidR="00CB7A4F" w:rsidRPr="00CB7A4F">
        <w:rPr>
          <w:sz w:val="22"/>
          <w:szCs w:val="22"/>
        </w:rPr>
        <w:t>4</w:t>
      </w:r>
      <w:r w:rsidR="00CB7A4F">
        <w:rPr>
          <w:sz w:val="22"/>
          <w:szCs w:val="22"/>
        </w:rPr>
        <w:t xml:space="preserve"> </w:t>
      </w:r>
      <w:r w:rsidR="00CB7A4F" w:rsidRPr="00CB7A4F">
        <w:rPr>
          <w:sz w:val="22"/>
          <w:szCs w:val="22"/>
        </w:rPr>
        <w:t>% z celkov</w:t>
      </w:r>
      <w:r w:rsidR="00CB7A4F">
        <w:rPr>
          <w:sz w:val="22"/>
          <w:szCs w:val="22"/>
        </w:rPr>
        <w:t>é</w:t>
      </w:r>
      <w:r w:rsidR="00CB7A4F" w:rsidRPr="00CB7A4F">
        <w:rPr>
          <w:sz w:val="22"/>
          <w:szCs w:val="22"/>
        </w:rPr>
        <w:t xml:space="preserve"> </w:t>
      </w:r>
      <w:r w:rsidR="00AE06E6">
        <w:rPr>
          <w:sz w:val="22"/>
          <w:szCs w:val="22"/>
        </w:rPr>
        <w:t xml:space="preserve">plochy </w:t>
      </w:r>
      <w:r w:rsidR="00CB7A4F" w:rsidRPr="00CB7A4F">
        <w:rPr>
          <w:sz w:val="22"/>
          <w:szCs w:val="22"/>
        </w:rPr>
        <w:t>kancelář</w:t>
      </w:r>
      <w:r w:rsidR="00CB7A4F">
        <w:rPr>
          <w:sz w:val="22"/>
          <w:szCs w:val="22"/>
        </w:rPr>
        <w:t>í v hlavním městě. P</w:t>
      </w:r>
      <w:r w:rsidR="00CB7A4F" w:rsidRPr="00CB7A4F">
        <w:rPr>
          <w:sz w:val="22"/>
          <w:szCs w:val="22"/>
        </w:rPr>
        <w:t>optávka po</w:t>
      </w:r>
      <w:r w:rsidR="00CB7A4F">
        <w:rPr>
          <w:sz w:val="22"/>
          <w:szCs w:val="22"/>
        </w:rPr>
        <w:t xml:space="preserve"> nich setrvale roste</w:t>
      </w:r>
      <w:r w:rsidR="00CB7A4F" w:rsidRPr="00CB7A4F">
        <w:rPr>
          <w:sz w:val="22"/>
          <w:szCs w:val="22"/>
        </w:rPr>
        <w:t xml:space="preserve">, </w:t>
      </w:r>
      <w:r w:rsidR="00AE06E6">
        <w:rPr>
          <w:sz w:val="22"/>
          <w:szCs w:val="22"/>
        </w:rPr>
        <w:t xml:space="preserve">stejně jako </w:t>
      </w:r>
      <w:r w:rsidR="00904593">
        <w:rPr>
          <w:sz w:val="22"/>
          <w:szCs w:val="22"/>
        </w:rPr>
        <w:t>expanze</w:t>
      </w:r>
      <w:r w:rsidR="00CB7A4F" w:rsidRPr="00CB7A4F">
        <w:rPr>
          <w:sz w:val="22"/>
          <w:szCs w:val="22"/>
        </w:rPr>
        <w:t xml:space="preserve"> </w:t>
      </w:r>
      <w:r w:rsidR="00CB7A4F">
        <w:rPr>
          <w:sz w:val="22"/>
          <w:szCs w:val="22"/>
        </w:rPr>
        <w:t xml:space="preserve">jejich </w:t>
      </w:r>
      <w:r w:rsidR="00CA6F95">
        <w:rPr>
          <w:sz w:val="22"/>
          <w:szCs w:val="22"/>
        </w:rPr>
        <w:t>provozovatelů</w:t>
      </w:r>
      <w:r w:rsidR="00CB7A4F">
        <w:rPr>
          <w:sz w:val="22"/>
          <w:szCs w:val="22"/>
        </w:rPr>
        <w:t>.</w:t>
      </w:r>
    </w:p>
    <w:p w14:paraId="0FBDD92A" w14:textId="77777777" w:rsidR="00CB7A4F" w:rsidRDefault="00CB7A4F" w:rsidP="006A7E89">
      <w:pPr>
        <w:pStyle w:val="BodyCopy"/>
        <w:rPr>
          <w:sz w:val="22"/>
          <w:szCs w:val="22"/>
        </w:rPr>
      </w:pPr>
    </w:p>
    <w:p w14:paraId="1AE2D422" w14:textId="6A853EEA" w:rsidR="006A7E89" w:rsidRDefault="00000618" w:rsidP="006A7E89">
      <w:pPr>
        <w:pStyle w:val="BodyCopy"/>
        <w:rPr>
          <w:sz w:val="22"/>
          <w:szCs w:val="22"/>
        </w:rPr>
      </w:pPr>
      <w:r>
        <w:rPr>
          <w:sz w:val="22"/>
          <w:szCs w:val="22"/>
        </w:rPr>
        <w:t xml:space="preserve">Nicméně i </w:t>
      </w:r>
      <w:r w:rsidR="00CA6F95">
        <w:rPr>
          <w:sz w:val="22"/>
          <w:szCs w:val="22"/>
        </w:rPr>
        <w:t>přes</w:t>
      </w:r>
      <w:r w:rsidR="00904593">
        <w:rPr>
          <w:sz w:val="22"/>
          <w:szCs w:val="22"/>
        </w:rPr>
        <w:t xml:space="preserve"> všechny tyto klíčové momenty </w:t>
      </w:r>
      <w:r w:rsidR="00CA6F95">
        <w:rPr>
          <w:sz w:val="22"/>
          <w:szCs w:val="22"/>
        </w:rPr>
        <w:t xml:space="preserve">lze jako zlomový </w:t>
      </w:r>
      <w:r w:rsidR="00633712">
        <w:rPr>
          <w:sz w:val="22"/>
          <w:szCs w:val="22"/>
        </w:rPr>
        <w:t xml:space="preserve">rok </w:t>
      </w:r>
      <w:r w:rsidR="00CB7A4F">
        <w:rPr>
          <w:sz w:val="22"/>
          <w:szCs w:val="22"/>
        </w:rPr>
        <w:t xml:space="preserve">pro kancelářský segment </w:t>
      </w:r>
      <w:r w:rsidR="00CA6F95">
        <w:rPr>
          <w:sz w:val="22"/>
          <w:szCs w:val="22"/>
        </w:rPr>
        <w:t>označit rok</w:t>
      </w:r>
      <w:r w:rsidR="00CB7A4F">
        <w:rPr>
          <w:sz w:val="22"/>
          <w:szCs w:val="22"/>
        </w:rPr>
        <w:t xml:space="preserve"> </w:t>
      </w:r>
      <w:r w:rsidR="006A7E89">
        <w:rPr>
          <w:sz w:val="22"/>
          <w:szCs w:val="22"/>
        </w:rPr>
        <w:t>2020</w:t>
      </w:r>
      <w:r w:rsidR="00904593">
        <w:rPr>
          <w:sz w:val="22"/>
          <w:szCs w:val="22"/>
        </w:rPr>
        <w:t>. N</w:t>
      </w:r>
      <w:r w:rsidR="00CA6F95">
        <w:rPr>
          <w:sz w:val="22"/>
          <w:szCs w:val="22"/>
        </w:rPr>
        <w:t xml:space="preserve">ástup </w:t>
      </w:r>
      <w:r w:rsidR="006A7E89">
        <w:rPr>
          <w:sz w:val="22"/>
          <w:szCs w:val="22"/>
        </w:rPr>
        <w:t>p</w:t>
      </w:r>
      <w:r w:rsidR="006A7E89" w:rsidRPr="00ED4848">
        <w:rPr>
          <w:sz w:val="22"/>
          <w:szCs w:val="22"/>
        </w:rPr>
        <w:t xml:space="preserve">andemie </w:t>
      </w:r>
      <w:r w:rsidR="006A7E89">
        <w:rPr>
          <w:sz w:val="22"/>
          <w:szCs w:val="22"/>
        </w:rPr>
        <w:t>covidu</w:t>
      </w:r>
      <w:r w:rsidR="006A7E89" w:rsidRPr="00ED4848">
        <w:rPr>
          <w:sz w:val="22"/>
          <w:szCs w:val="22"/>
        </w:rPr>
        <w:t>-19</w:t>
      </w:r>
      <w:r w:rsidR="00CA6F95">
        <w:rPr>
          <w:sz w:val="22"/>
          <w:szCs w:val="22"/>
        </w:rPr>
        <w:t xml:space="preserve"> významně ovlivnil současnou podobu práce a </w:t>
      </w:r>
      <w:r w:rsidR="006A7E89" w:rsidRPr="00ED4848">
        <w:rPr>
          <w:sz w:val="22"/>
          <w:szCs w:val="22"/>
        </w:rPr>
        <w:t xml:space="preserve">urychlil přechod k hybridním </w:t>
      </w:r>
      <w:r w:rsidR="00BA7EBC">
        <w:rPr>
          <w:sz w:val="22"/>
          <w:szCs w:val="22"/>
        </w:rPr>
        <w:lastRenderedPageBreak/>
        <w:t>modelům</w:t>
      </w:r>
      <w:r w:rsidR="006A7E89" w:rsidRPr="00ED4848">
        <w:rPr>
          <w:sz w:val="22"/>
          <w:szCs w:val="22"/>
        </w:rPr>
        <w:t xml:space="preserve">. </w:t>
      </w:r>
      <w:r w:rsidR="00FD43D7">
        <w:rPr>
          <w:sz w:val="22"/>
          <w:szCs w:val="22"/>
        </w:rPr>
        <w:t>Firmy</w:t>
      </w:r>
      <w:r w:rsidR="006A7E89" w:rsidRPr="00ED4848">
        <w:rPr>
          <w:sz w:val="22"/>
          <w:szCs w:val="22"/>
        </w:rPr>
        <w:t xml:space="preserve"> </w:t>
      </w:r>
      <w:r w:rsidR="00B2605C">
        <w:rPr>
          <w:sz w:val="22"/>
          <w:szCs w:val="22"/>
        </w:rPr>
        <w:t xml:space="preserve">nyní </w:t>
      </w:r>
      <w:r w:rsidR="006A7E89" w:rsidRPr="00ED4848">
        <w:rPr>
          <w:sz w:val="22"/>
          <w:szCs w:val="22"/>
        </w:rPr>
        <w:t xml:space="preserve">kladou větší důraz na zdraví a celkové pohodlí </w:t>
      </w:r>
      <w:r w:rsidR="00FD43D7">
        <w:rPr>
          <w:sz w:val="22"/>
          <w:szCs w:val="22"/>
        </w:rPr>
        <w:t xml:space="preserve">svých </w:t>
      </w:r>
      <w:r w:rsidR="006A7E89" w:rsidRPr="00ED4848">
        <w:rPr>
          <w:sz w:val="22"/>
          <w:szCs w:val="22"/>
        </w:rPr>
        <w:t xml:space="preserve">zaměstnanců, </w:t>
      </w:r>
      <w:r w:rsidR="00FD43D7">
        <w:rPr>
          <w:sz w:val="22"/>
          <w:szCs w:val="22"/>
        </w:rPr>
        <w:t>zatímco</w:t>
      </w:r>
      <w:r w:rsidR="00D74693">
        <w:rPr>
          <w:sz w:val="22"/>
          <w:szCs w:val="22"/>
        </w:rPr>
        <w:t xml:space="preserve"> </w:t>
      </w:r>
      <w:r w:rsidR="00E8126E">
        <w:rPr>
          <w:sz w:val="22"/>
          <w:szCs w:val="22"/>
        </w:rPr>
        <w:t>ti</w:t>
      </w:r>
      <w:r w:rsidR="00D74693" w:rsidRPr="00ED4848">
        <w:rPr>
          <w:sz w:val="22"/>
          <w:szCs w:val="22"/>
        </w:rPr>
        <w:t xml:space="preserve"> </w:t>
      </w:r>
      <w:r w:rsidR="00904593">
        <w:rPr>
          <w:sz w:val="22"/>
          <w:szCs w:val="22"/>
        </w:rPr>
        <w:t xml:space="preserve">jsou více než pouhým platem motivovaní </w:t>
      </w:r>
      <w:r w:rsidR="00904593" w:rsidRPr="00ED4848">
        <w:rPr>
          <w:sz w:val="22"/>
          <w:szCs w:val="22"/>
        </w:rPr>
        <w:t>smyslupln</w:t>
      </w:r>
      <w:r w:rsidR="00904593">
        <w:rPr>
          <w:sz w:val="22"/>
          <w:szCs w:val="22"/>
        </w:rPr>
        <w:t>ou</w:t>
      </w:r>
      <w:r w:rsidR="00904593" w:rsidRPr="00ED4848">
        <w:rPr>
          <w:sz w:val="22"/>
          <w:szCs w:val="22"/>
        </w:rPr>
        <w:t xml:space="preserve"> pr</w:t>
      </w:r>
      <w:r w:rsidR="00904593">
        <w:rPr>
          <w:sz w:val="22"/>
          <w:szCs w:val="22"/>
        </w:rPr>
        <w:t>a</w:t>
      </w:r>
      <w:r w:rsidR="00904593" w:rsidRPr="00ED4848">
        <w:rPr>
          <w:sz w:val="22"/>
          <w:szCs w:val="22"/>
        </w:rPr>
        <w:t>c</w:t>
      </w:r>
      <w:r w:rsidR="00904593">
        <w:rPr>
          <w:sz w:val="22"/>
          <w:szCs w:val="22"/>
        </w:rPr>
        <w:t xml:space="preserve">í, </w:t>
      </w:r>
      <w:r w:rsidR="00D74693" w:rsidRPr="00ED4848">
        <w:rPr>
          <w:sz w:val="22"/>
          <w:szCs w:val="22"/>
        </w:rPr>
        <w:t>firemní kultur</w:t>
      </w:r>
      <w:r w:rsidR="00904593">
        <w:rPr>
          <w:sz w:val="22"/>
          <w:szCs w:val="22"/>
        </w:rPr>
        <w:t>ou</w:t>
      </w:r>
      <w:r w:rsidR="00D74693" w:rsidRPr="00ED4848">
        <w:rPr>
          <w:sz w:val="22"/>
          <w:szCs w:val="22"/>
        </w:rPr>
        <w:t>, možnost</w:t>
      </w:r>
      <w:r w:rsidR="00E8126E">
        <w:rPr>
          <w:sz w:val="22"/>
          <w:szCs w:val="22"/>
        </w:rPr>
        <w:t>í</w:t>
      </w:r>
      <w:r w:rsidR="00D74693" w:rsidRPr="00ED4848">
        <w:rPr>
          <w:sz w:val="22"/>
          <w:szCs w:val="22"/>
        </w:rPr>
        <w:t xml:space="preserve"> profesního růstu</w:t>
      </w:r>
      <w:r w:rsidR="00904593">
        <w:rPr>
          <w:sz w:val="22"/>
          <w:szCs w:val="22"/>
        </w:rPr>
        <w:t xml:space="preserve"> a</w:t>
      </w:r>
      <w:r w:rsidR="00D74693" w:rsidRPr="00ED4848">
        <w:rPr>
          <w:sz w:val="22"/>
          <w:szCs w:val="22"/>
        </w:rPr>
        <w:t xml:space="preserve"> </w:t>
      </w:r>
      <w:r w:rsidR="00E94242">
        <w:rPr>
          <w:sz w:val="22"/>
          <w:szCs w:val="22"/>
        </w:rPr>
        <w:t xml:space="preserve">větší </w:t>
      </w:r>
      <w:r w:rsidR="00D74693" w:rsidRPr="00ED4848">
        <w:rPr>
          <w:sz w:val="22"/>
          <w:szCs w:val="22"/>
        </w:rPr>
        <w:t>flexibilit</w:t>
      </w:r>
      <w:r w:rsidR="00904593">
        <w:rPr>
          <w:sz w:val="22"/>
          <w:szCs w:val="22"/>
        </w:rPr>
        <w:t>ou</w:t>
      </w:r>
      <w:r w:rsidR="00D74693" w:rsidRPr="00ED4848">
        <w:rPr>
          <w:sz w:val="22"/>
          <w:szCs w:val="22"/>
        </w:rPr>
        <w:t>.</w:t>
      </w:r>
    </w:p>
    <w:p w14:paraId="51270726" w14:textId="77777777" w:rsidR="00D74693" w:rsidRPr="00ED4848" w:rsidRDefault="00D74693" w:rsidP="006A7E89">
      <w:pPr>
        <w:pStyle w:val="BodyCopy"/>
        <w:rPr>
          <w:sz w:val="22"/>
          <w:szCs w:val="22"/>
        </w:rPr>
      </w:pPr>
    </w:p>
    <w:p w14:paraId="4928CB5D" w14:textId="0CB078AB" w:rsidR="00ED4848" w:rsidRDefault="00AF5EF6" w:rsidP="00ED4848">
      <w:pPr>
        <w:pStyle w:val="BodyCopy"/>
        <w:rPr>
          <w:i/>
          <w:iCs/>
          <w:sz w:val="22"/>
          <w:szCs w:val="22"/>
        </w:rPr>
      </w:pPr>
      <w:r w:rsidRPr="00AF5EF6">
        <w:rPr>
          <w:i/>
          <w:iCs/>
          <w:sz w:val="22"/>
          <w:szCs w:val="22"/>
        </w:rPr>
        <w:t>„</w:t>
      </w:r>
      <w:r w:rsidR="00904593">
        <w:rPr>
          <w:i/>
          <w:iCs/>
          <w:sz w:val="22"/>
          <w:szCs w:val="22"/>
        </w:rPr>
        <w:t>Pražský k</w:t>
      </w:r>
      <w:r w:rsidR="00ED4848" w:rsidRPr="00AF5EF6">
        <w:rPr>
          <w:i/>
          <w:iCs/>
          <w:sz w:val="22"/>
          <w:szCs w:val="22"/>
        </w:rPr>
        <w:t xml:space="preserve">ancelářský trh se </w:t>
      </w:r>
      <w:r w:rsidR="00904593">
        <w:rPr>
          <w:i/>
          <w:iCs/>
          <w:sz w:val="22"/>
          <w:szCs w:val="22"/>
        </w:rPr>
        <w:t xml:space="preserve">již z pandemie </w:t>
      </w:r>
      <w:r w:rsidR="00ED4848" w:rsidRPr="00AF5EF6">
        <w:rPr>
          <w:i/>
          <w:iCs/>
          <w:sz w:val="22"/>
          <w:szCs w:val="22"/>
        </w:rPr>
        <w:t>oklepal</w:t>
      </w:r>
      <w:r w:rsidR="00000618">
        <w:rPr>
          <w:i/>
          <w:iCs/>
          <w:sz w:val="22"/>
          <w:szCs w:val="22"/>
        </w:rPr>
        <w:t xml:space="preserve"> a tím</w:t>
      </w:r>
      <w:r w:rsidR="00904593">
        <w:rPr>
          <w:i/>
          <w:iCs/>
          <w:sz w:val="22"/>
          <w:szCs w:val="22"/>
        </w:rPr>
        <w:t xml:space="preserve"> </w:t>
      </w:r>
      <w:r w:rsidRPr="00AF5EF6">
        <w:rPr>
          <w:i/>
          <w:iCs/>
          <w:sz w:val="22"/>
          <w:szCs w:val="22"/>
        </w:rPr>
        <w:t xml:space="preserve">prokázal </w:t>
      </w:r>
      <w:r w:rsidR="00000618">
        <w:rPr>
          <w:i/>
          <w:iCs/>
          <w:sz w:val="22"/>
          <w:szCs w:val="22"/>
        </w:rPr>
        <w:t>svou</w:t>
      </w:r>
      <w:r w:rsidRPr="00AF5EF6">
        <w:rPr>
          <w:i/>
          <w:iCs/>
          <w:sz w:val="22"/>
          <w:szCs w:val="22"/>
        </w:rPr>
        <w:t xml:space="preserve"> odolnost</w:t>
      </w:r>
      <w:r w:rsidR="00904593">
        <w:rPr>
          <w:i/>
          <w:iCs/>
          <w:sz w:val="22"/>
          <w:szCs w:val="22"/>
        </w:rPr>
        <w:t xml:space="preserve">. </w:t>
      </w:r>
      <w:r w:rsidR="00ED4848" w:rsidRPr="00AF5EF6">
        <w:rPr>
          <w:i/>
          <w:iCs/>
          <w:sz w:val="22"/>
          <w:szCs w:val="22"/>
        </w:rPr>
        <w:t xml:space="preserve">Míra neobsazenosti </w:t>
      </w:r>
      <w:r w:rsidR="00E8126E">
        <w:rPr>
          <w:i/>
          <w:iCs/>
          <w:sz w:val="22"/>
          <w:szCs w:val="22"/>
        </w:rPr>
        <w:t>nyní</w:t>
      </w:r>
      <w:r w:rsidR="00F30462">
        <w:rPr>
          <w:i/>
          <w:iCs/>
          <w:sz w:val="22"/>
          <w:szCs w:val="22"/>
        </w:rPr>
        <w:t xml:space="preserve"> dosahuje </w:t>
      </w:r>
      <w:r w:rsidR="00ED4848" w:rsidRPr="00AF5EF6">
        <w:rPr>
          <w:i/>
          <w:iCs/>
          <w:sz w:val="22"/>
          <w:szCs w:val="22"/>
        </w:rPr>
        <w:t>8</w:t>
      </w:r>
      <w:r w:rsidR="00F30462">
        <w:rPr>
          <w:i/>
          <w:iCs/>
          <w:sz w:val="22"/>
          <w:szCs w:val="22"/>
        </w:rPr>
        <w:t>,</w:t>
      </w:r>
      <w:r w:rsidR="00ED4848" w:rsidRPr="00AF5EF6">
        <w:rPr>
          <w:i/>
          <w:iCs/>
          <w:sz w:val="22"/>
          <w:szCs w:val="22"/>
        </w:rPr>
        <w:t>1</w:t>
      </w:r>
      <w:r w:rsidR="00F30462">
        <w:rPr>
          <w:i/>
          <w:iCs/>
          <w:sz w:val="22"/>
          <w:szCs w:val="22"/>
        </w:rPr>
        <w:t xml:space="preserve"> </w:t>
      </w:r>
      <w:r w:rsidR="00ED4848" w:rsidRPr="00AF5EF6">
        <w:rPr>
          <w:i/>
          <w:iCs/>
          <w:sz w:val="22"/>
          <w:szCs w:val="22"/>
        </w:rPr>
        <w:t>%, což je nejnižší hodnota v rámci hlavních měst ve střední a východní Evropě</w:t>
      </w:r>
      <w:r w:rsidR="00131D20">
        <w:rPr>
          <w:i/>
          <w:iCs/>
          <w:sz w:val="22"/>
          <w:szCs w:val="22"/>
        </w:rPr>
        <w:t xml:space="preserve">. </w:t>
      </w:r>
      <w:r w:rsidR="00E8126E">
        <w:rPr>
          <w:i/>
          <w:iCs/>
          <w:sz w:val="22"/>
          <w:szCs w:val="22"/>
        </w:rPr>
        <w:t>D</w:t>
      </w:r>
      <w:r w:rsidR="00E8126E" w:rsidRPr="00E8126E">
        <w:rPr>
          <w:i/>
          <w:iCs/>
          <w:sz w:val="22"/>
          <w:szCs w:val="22"/>
        </w:rPr>
        <w:t>o budoucna očekává</w:t>
      </w:r>
      <w:r w:rsidR="00E8126E">
        <w:rPr>
          <w:i/>
          <w:iCs/>
          <w:sz w:val="22"/>
          <w:szCs w:val="22"/>
        </w:rPr>
        <w:t>me</w:t>
      </w:r>
      <w:r w:rsidR="00E8126E" w:rsidRPr="00E8126E">
        <w:rPr>
          <w:i/>
          <w:iCs/>
          <w:sz w:val="22"/>
          <w:szCs w:val="22"/>
        </w:rPr>
        <w:t>, že trh bude pokračovat v adaptaci na nové pracovní modely a technologické inovace</w:t>
      </w:r>
      <w:r w:rsidR="00E8126E">
        <w:rPr>
          <w:i/>
          <w:iCs/>
          <w:sz w:val="22"/>
          <w:szCs w:val="22"/>
        </w:rPr>
        <w:t>. Současně f</w:t>
      </w:r>
      <w:r w:rsidR="00E8126E" w:rsidRPr="00E8126E">
        <w:rPr>
          <w:i/>
          <w:iCs/>
          <w:sz w:val="22"/>
          <w:szCs w:val="22"/>
        </w:rPr>
        <w:t xml:space="preserve">lexibilita, udržitelnost a zdraví zaměstnanců budou i nadále klíčovými faktory ovlivňujícími podobu </w:t>
      </w:r>
      <w:r w:rsidR="00E8126E">
        <w:rPr>
          <w:i/>
          <w:iCs/>
          <w:sz w:val="22"/>
          <w:szCs w:val="22"/>
        </w:rPr>
        <w:t>pracovišť,</w:t>
      </w:r>
      <w:r w:rsidR="00C47CE8" w:rsidRPr="00AF5EF6">
        <w:rPr>
          <w:i/>
          <w:iCs/>
          <w:sz w:val="22"/>
          <w:szCs w:val="22"/>
        </w:rPr>
        <w:t>“</w:t>
      </w:r>
      <w:r w:rsidR="00C47CE8">
        <w:rPr>
          <w:sz w:val="22"/>
          <w:szCs w:val="22"/>
        </w:rPr>
        <w:t xml:space="preserve"> popisuje </w:t>
      </w:r>
      <w:r w:rsidR="00B11D32" w:rsidRPr="00952169">
        <w:rPr>
          <w:b/>
          <w:bCs/>
          <w:sz w:val="22"/>
          <w:szCs w:val="22"/>
        </w:rPr>
        <w:t xml:space="preserve">Helena </w:t>
      </w:r>
      <w:proofErr w:type="spellStart"/>
      <w:r w:rsidR="00B11D32" w:rsidRPr="00952169">
        <w:rPr>
          <w:b/>
          <w:bCs/>
          <w:sz w:val="22"/>
          <w:szCs w:val="22"/>
        </w:rPr>
        <w:t>Hemrová</w:t>
      </w:r>
      <w:proofErr w:type="spellEnd"/>
      <w:r w:rsidR="00B11D32" w:rsidRPr="00952169">
        <w:rPr>
          <w:b/>
          <w:bCs/>
          <w:sz w:val="22"/>
          <w:szCs w:val="22"/>
        </w:rPr>
        <w:t xml:space="preserve">, vedoucí oddělení kancelářských pronájmů </w:t>
      </w:r>
      <w:r w:rsidR="00B11D32">
        <w:rPr>
          <w:b/>
          <w:bCs/>
          <w:sz w:val="22"/>
          <w:szCs w:val="22"/>
        </w:rPr>
        <w:t xml:space="preserve">v </w:t>
      </w:r>
      <w:r w:rsidR="00B11D32" w:rsidRPr="00952169">
        <w:rPr>
          <w:b/>
          <w:bCs/>
          <w:sz w:val="22"/>
          <w:szCs w:val="22"/>
        </w:rPr>
        <w:t>CBRE</w:t>
      </w:r>
      <w:r w:rsidR="006E2075" w:rsidRPr="006E2075">
        <w:rPr>
          <w:sz w:val="22"/>
          <w:szCs w:val="22"/>
        </w:rPr>
        <w:t>,</w:t>
      </w:r>
      <w:r w:rsidR="00C148C1" w:rsidRPr="006E2075">
        <w:rPr>
          <w:sz w:val="22"/>
          <w:szCs w:val="22"/>
        </w:rPr>
        <w:t xml:space="preserve"> </w:t>
      </w:r>
      <w:r w:rsidR="00C148C1" w:rsidRPr="00C148C1">
        <w:rPr>
          <w:sz w:val="22"/>
          <w:szCs w:val="22"/>
        </w:rPr>
        <w:t>a pokračuje: „</w:t>
      </w:r>
      <w:r w:rsidR="00ED4848" w:rsidRPr="00AF5EF6">
        <w:rPr>
          <w:i/>
          <w:iCs/>
          <w:sz w:val="22"/>
          <w:szCs w:val="22"/>
        </w:rPr>
        <w:t xml:space="preserve">Dříve byly běžné dlouhodobé nájemní smlouvy na 5 až 10 let. Dnes je větší poptávka po flexibilnějších smlouvách, často na 3 až 5 let s možností prodloužení. Moderní nájemní smlouvy </w:t>
      </w:r>
      <w:r w:rsidR="003642D5">
        <w:rPr>
          <w:i/>
          <w:iCs/>
          <w:sz w:val="22"/>
          <w:szCs w:val="22"/>
        </w:rPr>
        <w:t>také</w:t>
      </w:r>
      <w:r w:rsidR="00C148C1">
        <w:rPr>
          <w:i/>
          <w:iCs/>
          <w:sz w:val="22"/>
          <w:szCs w:val="22"/>
        </w:rPr>
        <w:t xml:space="preserve"> </w:t>
      </w:r>
      <w:r w:rsidR="00ED4848" w:rsidRPr="00AF5EF6">
        <w:rPr>
          <w:i/>
          <w:iCs/>
          <w:sz w:val="22"/>
          <w:szCs w:val="22"/>
        </w:rPr>
        <w:t xml:space="preserve">obsahují klauzule </w:t>
      </w:r>
      <w:r w:rsidR="00C148C1">
        <w:rPr>
          <w:i/>
          <w:iCs/>
          <w:sz w:val="22"/>
          <w:szCs w:val="22"/>
        </w:rPr>
        <w:t>dovolující</w:t>
      </w:r>
      <w:r w:rsidR="00ED4848" w:rsidRPr="00AF5EF6">
        <w:rPr>
          <w:i/>
          <w:iCs/>
          <w:sz w:val="22"/>
          <w:szCs w:val="22"/>
        </w:rPr>
        <w:t xml:space="preserve"> nájemcům přizpůsobit prostor</w:t>
      </w:r>
      <w:r w:rsidR="00C148C1">
        <w:rPr>
          <w:i/>
          <w:iCs/>
          <w:sz w:val="22"/>
          <w:szCs w:val="22"/>
        </w:rPr>
        <w:t>y</w:t>
      </w:r>
      <w:r w:rsidR="00ED4848" w:rsidRPr="00AF5EF6">
        <w:rPr>
          <w:i/>
          <w:iCs/>
          <w:sz w:val="22"/>
          <w:szCs w:val="22"/>
        </w:rPr>
        <w:t xml:space="preserve"> jejich aktuálním potřebám, </w:t>
      </w:r>
      <w:r w:rsidR="00C148C1">
        <w:rPr>
          <w:i/>
          <w:iCs/>
          <w:sz w:val="22"/>
          <w:szCs w:val="22"/>
        </w:rPr>
        <w:t>ať už jde o</w:t>
      </w:r>
      <w:r w:rsidR="00ED4848" w:rsidRPr="00AF5EF6">
        <w:rPr>
          <w:i/>
          <w:iCs/>
          <w:sz w:val="22"/>
          <w:szCs w:val="22"/>
        </w:rPr>
        <w:t xml:space="preserve"> možnost podnájmu, navrácení části</w:t>
      </w:r>
      <w:r w:rsidR="00C148C1">
        <w:rPr>
          <w:i/>
          <w:iCs/>
          <w:sz w:val="22"/>
          <w:szCs w:val="22"/>
        </w:rPr>
        <w:t xml:space="preserve"> prostor nebo dodatečné stavební úpravy.“</w:t>
      </w:r>
      <w:r w:rsidR="00ED4848" w:rsidRPr="00AF5EF6">
        <w:rPr>
          <w:i/>
          <w:iCs/>
          <w:sz w:val="22"/>
          <w:szCs w:val="22"/>
        </w:rPr>
        <w:t xml:space="preserve"> </w:t>
      </w:r>
    </w:p>
    <w:p w14:paraId="37C6B029" w14:textId="77777777" w:rsidR="004434A3" w:rsidRPr="00ED4848" w:rsidRDefault="004434A3" w:rsidP="00ED4848">
      <w:pPr>
        <w:pStyle w:val="BodyCopy"/>
        <w:rPr>
          <w:sz w:val="22"/>
          <w:szCs w:val="22"/>
        </w:rPr>
      </w:pPr>
    </w:p>
    <w:p w14:paraId="54BDE964" w14:textId="7F12F15C" w:rsidR="004434A3" w:rsidRPr="00002F8F" w:rsidRDefault="004434A3" w:rsidP="001E01E3">
      <w:pPr>
        <w:pStyle w:val="Body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EE" w:themeFill="background2" w:themeFillTint="33"/>
        <w:spacing w:before="80"/>
        <w:rPr>
          <w:sz w:val="22"/>
          <w:szCs w:val="22"/>
        </w:rPr>
      </w:pPr>
      <w:r w:rsidRPr="005B18C9">
        <w:rPr>
          <w:b/>
          <w:bCs/>
          <w:sz w:val="22"/>
          <w:szCs w:val="22"/>
        </w:rPr>
        <w:t xml:space="preserve">CBRE se </w:t>
      </w:r>
      <w:r>
        <w:rPr>
          <w:b/>
          <w:bCs/>
          <w:sz w:val="22"/>
          <w:szCs w:val="22"/>
        </w:rPr>
        <w:t xml:space="preserve">během posledních 25 let </w:t>
      </w:r>
      <w:r w:rsidRPr="005B18C9">
        <w:rPr>
          <w:b/>
          <w:bCs/>
          <w:sz w:val="22"/>
          <w:szCs w:val="22"/>
        </w:rPr>
        <w:t xml:space="preserve">podílela na zprostředkování tisíců metrů </w:t>
      </w:r>
      <w:r>
        <w:rPr>
          <w:b/>
          <w:bCs/>
          <w:sz w:val="22"/>
          <w:szCs w:val="22"/>
        </w:rPr>
        <w:t>čtverečních kanceláří</w:t>
      </w:r>
      <w:r w:rsidRPr="00002F8F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Mimo jiné zajišťovala prostory </w:t>
      </w:r>
      <w:r w:rsidRPr="00002F8F">
        <w:rPr>
          <w:sz w:val="22"/>
          <w:szCs w:val="22"/>
        </w:rPr>
        <w:t>pro centrálu Raiffeisenbank v budově City Tower na Pankráci, ústředí Siemensu v</w:t>
      </w:r>
      <w:r w:rsidR="0050747F">
        <w:rPr>
          <w:sz w:val="22"/>
          <w:szCs w:val="22"/>
        </w:rPr>
        <w:t> </w:t>
      </w:r>
      <w:r w:rsidRPr="00002F8F">
        <w:rPr>
          <w:sz w:val="22"/>
          <w:szCs w:val="22"/>
        </w:rPr>
        <w:t xml:space="preserve">budovách City </w:t>
      </w:r>
      <w:proofErr w:type="spellStart"/>
      <w:r w:rsidRPr="00002F8F">
        <w:rPr>
          <w:sz w:val="22"/>
          <w:szCs w:val="22"/>
        </w:rPr>
        <w:t>West</w:t>
      </w:r>
      <w:proofErr w:type="spellEnd"/>
      <w:r w:rsidRPr="00002F8F">
        <w:rPr>
          <w:sz w:val="22"/>
          <w:szCs w:val="22"/>
        </w:rPr>
        <w:t xml:space="preserve"> B1</w:t>
      </w:r>
      <w:r w:rsidR="00E94242">
        <w:rPr>
          <w:sz w:val="22"/>
          <w:szCs w:val="22"/>
        </w:rPr>
        <w:t xml:space="preserve"> </w:t>
      </w:r>
      <w:r w:rsidRPr="00002F8F">
        <w:rPr>
          <w:sz w:val="22"/>
          <w:szCs w:val="22"/>
        </w:rPr>
        <w:t>a B2 ve Stodůlkách, sídlo Johnson &amp; Johnson v komplexu Waltrovka v Jinonicích, zázemí internetového portálu Seznam.cz v Paláci Křižík na Smíchově či farmaceutické společnosti MSD v</w:t>
      </w:r>
      <w:r w:rsidR="0050747F">
        <w:rPr>
          <w:sz w:val="22"/>
          <w:szCs w:val="22"/>
        </w:rPr>
        <w:t> </w:t>
      </w:r>
      <w:r w:rsidRPr="00002F8F">
        <w:rPr>
          <w:sz w:val="22"/>
          <w:szCs w:val="22"/>
        </w:rPr>
        <w:t>budov</w:t>
      </w:r>
      <w:r w:rsidR="00B11D32">
        <w:rPr>
          <w:sz w:val="22"/>
          <w:szCs w:val="22"/>
        </w:rPr>
        <w:t>ách</w:t>
      </w:r>
      <w:r w:rsidRPr="00002F8F">
        <w:rPr>
          <w:sz w:val="22"/>
          <w:szCs w:val="22"/>
        </w:rPr>
        <w:t xml:space="preserve"> </w:t>
      </w:r>
      <w:proofErr w:type="spellStart"/>
      <w:r w:rsidRPr="00002F8F">
        <w:rPr>
          <w:sz w:val="22"/>
          <w:szCs w:val="22"/>
        </w:rPr>
        <w:t>Five</w:t>
      </w:r>
      <w:proofErr w:type="spellEnd"/>
      <w:r w:rsidR="00B11D32">
        <w:rPr>
          <w:sz w:val="22"/>
          <w:szCs w:val="22"/>
        </w:rPr>
        <w:t xml:space="preserve"> a </w:t>
      </w:r>
      <w:proofErr w:type="spellStart"/>
      <w:r w:rsidR="00B11D32">
        <w:rPr>
          <w:sz w:val="22"/>
          <w:szCs w:val="22"/>
        </w:rPr>
        <w:t>Riverview</w:t>
      </w:r>
      <w:proofErr w:type="spellEnd"/>
      <w:r w:rsidR="001C6E6A">
        <w:rPr>
          <w:sz w:val="22"/>
          <w:szCs w:val="22"/>
        </w:rPr>
        <w:t>,</w:t>
      </w:r>
      <w:r w:rsidRPr="00002F8F">
        <w:rPr>
          <w:sz w:val="22"/>
          <w:szCs w:val="22"/>
        </w:rPr>
        <w:t xml:space="preserve"> taktéž na Smíchově.</w:t>
      </w:r>
    </w:p>
    <w:p w14:paraId="7F17F278" w14:textId="14AF8EA7" w:rsidR="004434A3" w:rsidRDefault="004434A3" w:rsidP="00925FFF">
      <w:pPr>
        <w:pStyle w:val="BodyCopy"/>
        <w:rPr>
          <w:b/>
          <w:bCs/>
          <w:sz w:val="22"/>
          <w:szCs w:val="22"/>
        </w:rPr>
      </w:pPr>
    </w:p>
    <w:p w14:paraId="0CA2F8E9" w14:textId="6CD33EAA" w:rsidR="00925FFF" w:rsidRDefault="00925FFF" w:rsidP="00925FFF">
      <w:pPr>
        <w:pStyle w:val="BodyCopy"/>
        <w:rPr>
          <w:b/>
          <w:bCs/>
          <w:sz w:val="22"/>
          <w:szCs w:val="22"/>
        </w:rPr>
      </w:pPr>
      <w:r w:rsidRPr="006E0DDF">
        <w:rPr>
          <w:b/>
          <w:bCs/>
          <w:sz w:val="22"/>
          <w:szCs w:val="22"/>
        </w:rPr>
        <w:t>Retail</w:t>
      </w:r>
      <w:r w:rsidR="00411DA4">
        <w:rPr>
          <w:b/>
          <w:bCs/>
          <w:sz w:val="22"/>
          <w:szCs w:val="22"/>
        </w:rPr>
        <w:t xml:space="preserve"> ve víru dění: od příchodu zahraničních řetězců přes expanzi nákupních center až po </w:t>
      </w:r>
      <w:r w:rsidR="00A93636">
        <w:rPr>
          <w:b/>
          <w:bCs/>
          <w:sz w:val="22"/>
          <w:szCs w:val="22"/>
        </w:rPr>
        <w:t>digitalizaci</w:t>
      </w:r>
    </w:p>
    <w:p w14:paraId="37F6CAAF" w14:textId="02BAA4BA" w:rsidR="00FB51A4" w:rsidRPr="00E3704D" w:rsidRDefault="00411DA4" w:rsidP="00E3704D">
      <w:pPr>
        <w:pStyle w:val="BodyCopy"/>
        <w:rPr>
          <w:sz w:val="22"/>
          <w:szCs w:val="22"/>
        </w:rPr>
      </w:pPr>
      <w:r w:rsidRPr="00411DA4">
        <w:rPr>
          <w:sz w:val="22"/>
          <w:szCs w:val="22"/>
        </w:rPr>
        <w:t>Od roku 1999 se objem ploch nákupních center</w:t>
      </w:r>
      <w:r>
        <w:rPr>
          <w:sz w:val="22"/>
          <w:szCs w:val="22"/>
        </w:rPr>
        <w:t xml:space="preserve"> v tuzemsku</w:t>
      </w:r>
      <w:r w:rsidRPr="00411D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více </w:t>
      </w:r>
      <w:r w:rsidRPr="00411DA4">
        <w:rPr>
          <w:sz w:val="22"/>
          <w:szCs w:val="22"/>
        </w:rPr>
        <w:t>než zosminásobil</w:t>
      </w:r>
      <w:r w:rsidR="00EC204C">
        <w:rPr>
          <w:sz w:val="22"/>
          <w:szCs w:val="22"/>
        </w:rPr>
        <w:t xml:space="preserve"> </w:t>
      </w:r>
      <w:r w:rsidR="0062769F">
        <w:rPr>
          <w:sz w:val="22"/>
          <w:szCs w:val="22"/>
        </w:rPr>
        <w:t>na současných</w:t>
      </w:r>
      <w:r w:rsidR="00EC204C">
        <w:rPr>
          <w:sz w:val="22"/>
          <w:szCs w:val="22"/>
        </w:rPr>
        <w:t xml:space="preserve"> </w:t>
      </w:r>
      <w:r w:rsidRPr="00411DA4">
        <w:rPr>
          <w:sz w:val="22"/>
          <w:szCs w:val="22"/>
        </w:rPr>
        <w:t>2</w:t>
      </w:r>
      <w:r>
        <w:rPr>
          <w:sz w:val="22"/>
          <w:szCs w:val="22"/>
        </w:rPr>
        <w:t>,</w:t>
      </w:r>
      <w:r w:rsidRPr="00411DA4">
        <w:rPr>
          <w:sz w:val="22"/>
          <w:szCs w:val="22"/>
        </w:rPr>
        <w:t>6 milionů m</w:t>
      </w:r>
      <w:r w:rsidRPr="00411DA4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. Současně </w:t>
      </w:r>
      <w:r w:rsidRPr="00E3704D">
        <w:rPr>
          <w:sz w:val="22"/>
          <w:szCs w:val="22"/>
        </w:rPr>
        <w:t xml:space="preserve">trh prošel </w:t>
      </w:r>
      <w:r w:rsidR="00E3704D" w:rsidRPr="00E3704D">
        <w:rPr>
          <w:sz w:val="22"/>
          <w:szCs w:val="22"/>
        </w:rPr>
        <w:t>výraznými změnami, které odrážejí širší ekonomické a společenské transformace po sametové revoluci. Tento dynamický vývoj zahrnoval několik klíčových fází a trendů, které zásadně ovlivnily způsob, jakým spotřebitelé nakupují a jakým maloobchodníci provozují své obchody.</w:t>
      </w:r>
      <w:r w:rsidR="00E3704D">
        <w:rPr>
          <w:sz w:val="22"/>
          <w:szCs w:val="22"/>
        </w:rPr>
        <w:br/>
      </w:r>
    </w:p>
    <w:p w14:paraId="34BBE8C5" w14:textId="35378517" w:rsidR="00B210FE" w:rsidRPr="00E3704D" w:rsidRDefault="00006E91" w:rsidP="00B210FE">
      <w:pPr>
        <w:pStyle w:val="BodyCopy"/>
        <w:rPr>
          <w:sz w:val="22"/>
          <w:szCs w:val="22"/>
        </w:rPr>
      </w:pPr>
      <w:r>
        <w:rPr>
          <w:sz w:val="22"/>
          <w:szCs w:val="22"/>
        </w:rPr>
        <w:t>P</w:t>
      </w:r>
      <w:r w:rsidR="00E3704D" w:rsidRPr="00E3704D">
        <w:rPr>
          <w:sz w:val="22"/>
          <w:szCs w:val="22"/>
        </w:rPr>
        <w:t xml:space="preserve">o pádu komunismu, kdy moderní maloobchod představovaly především obchodní domy Kotva, Máj, Bílá </w:t>
      </w:r>
      <w:r>
        <w:rPr>
          <w:sz w:val="22"/>
          <w:szCs w:val="22"/>
        </w:rPr>
        <w:t>l</w:t>
      </w:r>
      <w:r w:rsidR="00E3704D" w:rsidRPr="00E3704D">
        <w:rPr>
          <w:sz w:val="22"/>
          <w:szCs w:val="22"/>
        </w:rPr>
        <w:t xml:space="preserve">abuť nebo Prior, se trh začal rychle otevírat zahraničním investorům. Do země vstoupily velké mezinárodní řetězce jako Tesco, Carrefour, Ahold (dříve Mana, nyní Albert) a Kaufland. Tito hráči </w:t>
      </w:r>
      <w:r>
        <w:rPr>
          <w:sz w:val="22"/>
          <w:szCs w:val="22"/>
        </w:rPr>
        <w:t xml:space="preserve">s sebou </w:t>
      </w:r>
      <w:r w:rsidR="00E3704D" w:rsidRPr="00E3704D">
        <w:rPr>
          <w:sz w:val="22"/>
          <w:szCs w:val="22"/>
        </w:rPr>
        <w:t xml:space="preserve">přinesli nové obchodní modely, široký sortiment zboží </w:t>
      </w:r>
      <w:r>
        <w:rPr>
          <w:sz w:val="22"/>
          <w:szCs w:val="22"/>
        </w:rPr>
        <w:t>i</w:t>
      </w:r>
      <w:r w:rsidR="00E3704D" w:rsidRPr="00E3704D">
        <w:rPr>
          <w:sz w:val="22"/>
          <w:szCs w:val="22"/>
        </w:rPr>
        <w:t xml:space="preserve"> moderní technologie, což výrazně zlepšilo nabídku a kvalitu služeb.</w:t>
      </w:r>
      <w:r>
        <w:rPr>
          <w:sz w:val="22"/>
          <w:szCs w:val="22"/>
        </w:rPr>
        <w:t xml:space="preserve"> </w:t>
      </w:r>
      <w:r w:rsidR="00E3704D" w:rsidRPr="00E3704D">
        <w:rPr>
          <w:sz w:val="22"/>
          <w:szCs w:val="22"/>
        </w:rPr>
        <w:t>Na konci milénia a v první dekádě 21. století došlo k výraznému rozvoji hypermarketů a nákupních center, kter</w:t>
      </w:r>
      <w:r>
        <w:rPr>
          <w:sz w:val="22"/>
          <w:szCs w:val="22"/>
        </w:rPr>
        <w:t>á</w:t>
      </w:r>
      <w:r w:rsidR="00E3704D" w:rsidRPr="00E3704D">
        <w:rPr>
          <w:sz w:val="22"/>
          <w:szCs w:val="22"/>
        </w:rPr>
        <w:t xml:space="preserve"> v průběhu let měnila svoji nabídku. Nejdříve vznikal</w:t>
      </w:r>
      <w:r w:rsidR="00746BFC">
        <w:rPr>
          <w:sz w:val="22"/>
          <w:szCs w:val="22"/>
        </w:rPr>
        <w:t>a</w:t>
      </w:r>
      <w:r w:rsidR="00E3704D" w:rsidRPr="00E3704D">
        <w:rPr>
          <w:sz w:val="22"/>
          <w:szCs w:val="22"/>
        </w:rPr>
        <w:t xml:space="preserve"> centra, kde dominoval hypermarket s připojenou </w:t>
      </w:r>
      <w:r>
        <w:rPr>
          <w:sz w:val="22"/>
          <w:szCs w:val="22"/>
        </w:rPr>
        <w:t xml:space="preserve">nákupní </w:t>
      </w:r>
      <w:r w:rsidR="00E3704D" w:rsidRPr="00E3704D">
        <w:rPr>
          <w:sz w:val="22"/>
          <w:szCs w:val="22"/>
        </w:rPr>
        <w:t xml:space="preserve">galerií, </w:t>
      </w:r>
      <w:r w:rsidR="0062769F">
        <w:rPr>
          <w:sz w:val="22"/>
          <w:szCs w:val="22"/>
        </w:rPr>
        <w:t>poté</w:t>
      </w:r>
      <w:r w:rsidR="0050747F">
        <w:rPr>
          <w:sz w:val="22"/>
          <w:szCs w:val="22"/>
        </w:rPr>
        <w:t> </w:t>
      </w:r>
      <w:r w:rsidR="00E3704D" w:rsidRPr="00E3704D">
        <w:rPr>
          <w:sz w:val="22"/>
          <w:szCs w:val="22"/>
        </w:rPr>
        <w:t xml:space="preserve">docházelo k rozšiřování galerie, která nabízela široký výběr zboží, a </w:t>
      </w:r>
      <w:r w:rsidR="0062769F">
        <w:rPr>
          <w:sz w:val="22"/>
          <w:szCs w:val="22"/>
        </w:rPr>
        <w:t>následně</w:t>
      </w:r>
      <w:r w:rsidR="00E3704D" w:rsidRPr="00E3704D">
        <w:rPr>
          <w:sz w:val="22"/>
          <w:szCs w:val="22"/>
        </w:rPr>
        <w:t xml:space="preserve"> také zábavní a gastronomické služby. Tento trend změnil nákupní </w:t>
      </w:r>
      <w:r w:rsidR="00924314">
        <w:rPr>
          <w:sz w:val="22"/>
          <w:szCs w:val="22"/>
        </w:rPr>
        <w:t>z</w:t>
      </w:r>
      <w:r w:rsidR="00E3704D" w:rsidRPr="00E3704D">
        <w:rPr>
          <w:sz w:val="22"/>
          <w:szCs w:val="22"/>
        </w:rPr>
        <w:t xml:space="preserve">vyky </w:t>
      </w:r>
      <w:r w:rsidR="00D83F79">
        <w:rPr>
          <w:sz w:val="22"/>
          <w:szCs w:val="22"/>
        </w:rPr>
        <w:t>zákazník</w:t>
      </w:r>
      <w:r w:rsidR="00E3704D" w:rsidRPr="00E3704D">
        <w:rPr>
          <w:sz w:val="22"/>
          <w:szCs w:val="22"/>
        </w:rPr>
        <w:t xml:space="preserve">ů, kteří začali preferovat nákupy na jednom místě. </w:t>
      </w:r>
      <w:r w:rsidR="00B210FE">
        <w:rPr>
          <w:sz w:val="22"/>
          <w:szCs w:val="22"/>
        </w:rPr>
        <w:br/>
      </w:r>
    </w:p>
    <w:p w14:paraId="46147980" w14:textId="51A924B6" w:rsidR="00A93636" w:rsidRDefault="0062769F" w:rsidP="00A93636">
      <w:pPr>
        <w:pStyle w:val="BodyCopy"/>
        <w:rPr>
          <w:sz w:val="22"/>
          <w:szCs w:val="22"/>
        </w:rPr>
      </w:pPr>
      <w:r>
        <w:rPr>
          <w:sz w:val="22"/>
          <w:szCs w:val="22"/>
        </w:rPr>
        <w:t>S</w:t>
      </w:r>
      <w:r w:rsidR="009E546C" w:rsidRPr="00E3704D">
        <w:rPr>
          <w:sz w:val="22"/>
          <w:szCs w:val="22"/>
        </w:rPr>
        <w:t xml:space="preserve"> rozvojem internetu a </w:t>
      </w:r>
      <w:r w:rsidR="009E546C">
        <w:rPr>
          <w:sz w:val="22"/>
          <w:szCs w:val="22"/>
        </w:rPr>
        <w:t xml:space="preserve">moderních </w:t>
      </w:r>
      <w:r w:rsidR="009E546C" w:rsidRPr="00E3704D">
        <w:rPr>
          <w:sz w:val="22"/>
          <w:szCs w:val="22"/>
        </w:rPr>
        <w:t xml:space="preserve">technologií </w:t>
      </w:r>
      <w:r w:rsidR="00431873">
        <w:rPr>
          <w:sz w:val="22"/>
          <w:szCs w:val="22"/>
        </w:rPr>
        <w:t>odstartovala</w:t>
      </w:r>
      <w:r w:rsidR="009E546C" w:rsidRPr="00E3704D">
        <w:rPr>
          <w:sz w:val="22"/>
          <w:szCs w:val="22"/>
        </w:rPr>
        <w:t xml:space="preserve"> </w:t>
      </w:r>
      <w:r w:rsidR="00924314">
        <w:rPr>
          <w:sz w:val="22"/>
          <w:szCs w:val="22"/>
        </w:rPr>
        <w:t xml:space="preserve">éra </w:t>
      </w:r>
      <w:r w:rsidR="009E546C" w:rsidRPr="00E3704D">
        <w:rPr>
          <w:sz w:val="22"/>
          <w:szCs w:val="22"/>
        </w:rPr>
        <w:t>e-commerce</w:t>
      </w:r>
      <w:r w:rsidR="00431873">
        <w:rPr>
          <w:sz w:val="22"/>
          <w:szCs w:val="22"/>
        </w:rPr>
        <w:t xml:space="preserve"> a</w:t>
      </w:r>
      <w:r w:rsidR="00D83F79">
        <w:rPr>
          <w:sz w:val="22"/>
          <w:szCs w:val="22"/>
        </w:rPr>
        <w:t xml:space="preserve"> populární o</w:t>
      </w:r>
      <w:r w:rsidR="009E546C">
        <w:rPr>
          <w:sz w:val="22"/>
          <w:szCs w:val="22"/>
        </w:rPr>
        <w:t>nline prodejci</w:t>
      </w:r>
      <w:r w:rsidR="009E546C" w:rsidRPr="00E3704D">
        <w:rPr>
          <w:sz w:val="22"/>
          <w:szCs w:val="22"/>
        </w:rPr>
        <w:t xml:space="preserve"> </w:t>
      </w:r>
      <w:r w:rsidR="00707207">
        <w:rPr>
          <w:sz w:val="22"/>
          <w:szCs w:val="22"/>
        </w:rPr>
        <w:t xml:space="preserve">typu </w:t>
      </w:r>
      <w:r w:rsidR="009E546C" w:rsidRPr="00E3704D">
        <w:rPr>
          <w:sz w:val="22"/>
          <w:szCs w:val="22"/>
        </w:rPr>
        <w:t>Alza</w:t>
      </w:r>
      <w:r w:rsidR="009E546C">
        <w:rPr>
          <w:sz w:val="22"/>
          <w:szCs w:val="22"/>
        </w:rPr>
        <w:t xml:space="preserve"> nebo </w:t>
      </w:r>
      <w:r w:rsidR="009E546C" w:rsidRPr="00E3704D">
        <w:rPr>
          <w:sz w:val="22"/>
          <w:szCs w:val="22"/>
        </w:rPr>
        <w:t>Mall</w:t>
      </w:r>
      <w:r w:rsidR="009E546C">
        <w:rPr>
          <w:sz w:val="22"/>
          <w:szCs w:val="22"/>
        </w:rPr>
        <w:t xml:space="preserve"> </w:t>
      </w:r>
      <w:r w:rsidR="00431873">
        <w:rPr>
          <w:sz w:val="22"/>
          <w:szCs w:val="22"/>
        </w:rPr>
        <w:t>začali</w:t>
      </w:r>
      <w:r w:rsidR="00B210FE">
        <w:rPr>
          <w:sz w:val="22"/>
          <w:szCs w:val="22"/>
        </w:rPr>
        <w:t xml:space="preserve"> postupně </w:t>
      </w:r>
      <w:r w:rsidR="009E546C" w:rsidRPr="00E3704D">
        <w:rPr>
          <w:sz w:val="22"/>
          <w:szCs w:val="22"/>
        </w:rPr>
        <w:t xml:space="preserve">konkurovat tradičním kamenným obchodům. Digitalizace </w:t>
      </w:r>
      <w:r w:rsidR="00431873">
        <w:rPr>
          <w:sz w:val="22"/>
          <w:szCs w:val="22"/>
        </w:rPr>
        <w:t>současně</w:t>
      </w:r>
      <w:r w:rsidR="009E546C" w:rsidRPr="00E3704D">
        <w:rPr>
          <w:sz w:val="22"/>
          <w:szCs w:val="22"/>
        </w:rPr>
        <w:t xml:space="preserve"> vedla k zavedení nových platebních metod, věrnostních programů a personalizovaných nabídek, což </w:t>
      </w:r>
      <w:r w:rsidR="00B210FE">
        <w:rPr>
          <w:sz w:val="22"/>
          <w:szCs w:val="22"/>
        </w:rPr>
        <w:t xml:space="preserve">ještě </w:t>
      </w:r>
      <w:r w:rsidR="009E546C" w:rsidRPr="00E3704D">
        <w:rPr>
          <w:sz w:val="22"/>
          <w:szCs w:val="22"/>
        </w:rPr>
        <w:t>více přitáhlo zákazníky k</w:t>
      </w:r>
      <w:r w:rsidR="0050747F">
        <w:rPr>
          <w:sz w:val="22"/>
          <w:szCs w:val="22"/>
        </w:rPr>
        <w:t> </w:t>
      </w:r>
      <w:r w:rsidR="009E546C" w:rsidRPr="00E3704D">
        <w:rPr>
          <w:sz w:val="22"/>
          <w:szCs w:val="22"/>
        </w:rPr>
        <w:t>online nákupům.</w:t>
      </w:r>
      <w:r w:rsidR="00B210FE">
        <w:rPr>
          <w:sz w:val="22"/>
          <w:szCs w:val="22"/>
        </w:rPr>
        <w:t xml:space="preserve"> </w:t>
      </w:r>
      <w:r w:rsidR="00924314">
        <w:rPr>
          <w:sz w:val="22"/>
          <w:szCs w:val="22"/>
        </w:rPr>
        <w:t>Jejich v</w:t>
      </w:r>
      <w:r w:rsidR="005D1442">
        <w:rPr>
          <w:sz w:val="22"/>
          <w:szCs w:val="22"/>
        </w:rPr>
        <w:t xml:space="preserve">ýrazný nárůst nastal </w:t>
      </w:r>
      <w:r w:rsidR="00924314">
        <w:rPr>
          <w:sz w:val="22"/>
          <w:szCs w:val="22"/>
        </w:rPr>
        <w:t xml:space="preserve">především </w:t>
      </w:r>
      <w:r w:rsidR="005D1442">
        <w:rPr>
          <w:sz w:val="22"/>
          <w:szCs w:val="22"/>
        </w:rPr>
        <w:t xml:space="preserve">během pandemie covidu-19. </w:t>
      </w:r>
      <w:r w:rsidR="005D1442" w:rsidRPr="00E3704D">
        <w:rPr>
          <w:sz w:val="22"/>
          <w:szCs w:val="22"/>
        </w:rPr>
        <w:t>Omezení pohybu a</w:t>
      </w:r>
      <w:r w:rsidR="0050747F">
        <w:rPr>
          <w:sz w:val="22"/>
          <w:szCs w:val="22"/>
        </w:rPr>
        <w:t> </w:t>
      </w:r>
      <w:r w:rsidR="005D1442" w:rsidRPr="00E3704D">
        <w:rPr>
          <w:sz w:val="22"/>
          <w:szCs w:val="22"/>
        </w:rPr>
        <w:t xml:space="preserve">sociální distancování </w:t>
      </w:r>
      <w:r w:rsidR="005D1442">
        <w:rPr>
          <w:sz w:val="22"/>
          <w:szCs w:val="22"/>
        </w:rPr>
        <w:t>maloobchodníkům</w:t>
      </w:r>
      <w:r w:rsidR="00A93636" w:rsidRPr="00E3704D">
        <w:rPr>
          <w:sz w:val="22"/>
          <w:szCs w:val="22"/>
        </w:rPr>
        <w:t xml:space="preserve"> přinesl</w:t>
      </w:r>
      <w:r w:rsidR="005D1442">
        <w:rPr>
          <w:sz w:val="22"/>
          <w:szCs w:val="22"/>
        </w:rPr>
        <w:t>o</w:t>
      </w:r>
      <w:r w:rsidR="00A93636" w:rsidRPr="00E3704D">
        <w:rPr>
          <w:sz w:val="22"/>
          <w:szCs w:val="22"/>
        </w:rPr>
        <w:t xml:space="preserve"> nové výzvy a urychlil</w:t>
      </w:r>
      <w:r w:rsidR="005D1442">
        <w:rPr>
          <w:sz w:val="22"/>
          <w:szCs w:val="22"/>
        </w:rPr>
        <w:t xml:space="preserve">o </w:t>
      </w:r>
      <w:r w:rsidR="00A93636" w:rsidRPr="00E3704D">
        <w:rPr>
          <w:sz w:val="22"/>
          <w:szCs w:val="22"/>
        </w:rPr>
        <w:t xml:space="preserve">některé změny </w:t>
      </w:r>
      <w:r w:rsidR="005D1442">
        <w:rPr>
          <w:sz w:val="22"/>
          <w:szCs w:val="22"/>
        </w:rPr>
        <w:t xml:space="preserve">na </w:t>
      </w:r>
      <w:r w:rsidR="00A93636" w:rsidRPr="00E3704D">
        <w:rPr>
          <w:sz w:val="22"/>
          <w:szCs w:val="22"/>
        </w:rPr>
        <w:t xml:space="preserve">trhu. Mnoho </w:t>
      </w:r>
      <w:r w:rsidR="005D1442">
        <w:rPr>
          <w:sz w:val="22"/>
          <w:szCs w:val="22"/>
        </w:rPr>
        <w:t>značek</w:t>
      </w:r>
      <w:r w:rsidR="00A93636" w:rsidRPr="00E3704D">
        <w:rPr>
          <w:sz w:val="22"/>
          <w:szCs w:val="22"/>
        </w:rPr>
        <w:t xml:space="preserve"> muselo přizpůsobit své obchodní modely a investovat do digitálních řešení, aby zůstal</w:t>
      </w:r>
      <w:r w:rsidR="00BA7EBC">
        <w:rPr>
          <w:sz w:val="22"/>
          <w:szCs w:val="22"/>
        </w:rPr>
        <w:t>o</w:t>
      </w:r>
      <w:r w:rsidR="00BB75AD">
        <w:rPr>
          <w:sz w:val="22"/>
          <w:szCs w:val="22"/>
        </w:rPr>
        <w:t xml:space="preserve"> </w:t>
      </w:r>
      <w:r w:rsidR="00A93636" w:rsidRPr="00E3704D">
        <w:rPr>
          <w:sz w:val="22"/>
          <w:szCs w:val="22"/>
        </w:rPr>
        <w:t>konkurenceschopn</w:t>
      </w:r>
      <w:r w:rsidR="00BA7EBC">
        <w:rPr>
          <w:sz w:val="22"/>
          <w:szCs w:val="22"/>
        </w:rPr>
        <w:t>ých</w:t>
      </w:r>
      <w:r w:rsidR="00A93636" w:rsidRPr="00E3704D">
        <w:rPr>
          <w:sz w:val="22"/>
          <w:szCs w:val="22"/>
        </w:rPr>
        <w:t>.</w:t>
      </w:r>
    </w:p>
    <w:p w14:paraId="61D1F3E4" w14:textId="77777777" w:rsidR="00A93636" w:rsidRPr="00E3704D" w:rsidRDefault="00A93636" w:rsidP="00A93636">
      <w:pPr>
        <w:pStyle w:val="BodyCopy"/>
        <w:rPr>
          <w:sz w:val="22"/>
          <w:szCs w:val="22"/>
        </w:rPr>
      </w:pPr>
    </w:p>
    <w:p w14:paraId="1A6B0DB7" w14:textId="3EBB6AA8" w:rsidR="00E42949" w:rsidRDefault="00A93636" w:rsidP="00E3704D">
      <w:pPr>
        <w:pStyle w:val="BodyCopy"/>
        <w:rPr>
          <w:i/>
          <w:iCs/>
          <w:sz w:val="22"/>
          <w:szCs w:val="22"/>
        </w:rPr>
      </w:pPr>
      <w:r w:rsidRPr="00A93636">
        <w:rPr>
          <w:i/>
          <w:iCs/>
          <w:sz w:val="22"/>
          <w:szCs w:val="22"/>
        </w:rPr>
        <w:t>„</w:t>
      </w:r>
      <w:r w:rsidR="00E42949">
        <w:rPr>
          <w:i/>
          <w:iCs/>
          <w:sz w:val="22"/>
          <w:szCs w:val="22"/>
        </w:rPr>
        <w:t>Současná</w:t>
      </w:r>
      <w:r w:rsidRPr="00A93636">
        <w:rPr>
          <w:i/>
          <w:iCs/>
          <w:sz w:val="22"/>
          <w:szCs w:val="22"/>
        </w:rPr>
        <w:t xml:space="preserve"> kondic</w:t>
      </w:r>
      <w:r w:rsidR="005D1442">
        <w:rPr>
          <w:i/>
          <w:iCs/>
          <w:sz w:val="22"/>
          <w:szCs w:val="22"/>
        </w:rPr>
        <w:t>e</w:t>
      </w:r>
      <w:r w:rsidRPr="00A93636">
        <w:rPr>
          <w:i/>
          <w:iCs/>
          <w:sz w:val="22"/>
          <w:szCs w:val="22"/>
        </w:rPr>
        <w:t xml:space="preserve"> maloobchodního trhu </w:t>
      </w:r>
      <w:r w:rsidR="005D1442">
        <w:rPr>
          <w:i/>
          <w:iCs/>
          <w:sz w:val="22"/>
          <w:szCs w:val="22"/>
        </w:rPr>
        <w:t>je</w:t>
      </w:r>
      <w:r w:rsidRPr="00A93636">
        <w:rPr>
          <w:i/>
          <w:iCs/>
          <w:sz w:val="22"/>
          <w:szCs w:val="22"/>
        </w:rPr>
        <w:t xml:space="preserve"> dobr</w:t>
      </w:r>
      <w:r w:rsidR="005D1442">
        <w:rPr>
          <w:i/>
          <w:iCs/>
          <w:sz w:val="22"/>
          <w:szCs w:val="22"/>
        </w:rPr>
        <w:t>á</w:t>
      </w:r>
      <w:r w:rsidR="00746BFC">
        <w:rPr>
          <w:i/>
          <w:iCs/>
          <w:sz w:val="22"/>
          <w:szCs w:val="22"/>
        </w:rPr>
        <w:t xml:space="preserve"> </w:t>
      </w:r>
      <w:r w:rsidR="00746BFC" w:rsidRPr="00746BFC">
        <w:rPr>
          <w:i/>
          <w:iCs/>
          <w:sz w:val="22"/>
          <w:szCs w:val="22"/>
        </w:rPr>
        <w:t>a dokládá to i velmi nízká míra neobsazenosti kolem 4 %</w:t>
      </w:r>
      <w:r w:rsidRPr="00746BFC">
        <w:rPr>
          <w:i/>
          <w:iCs/>
          <w:sz w:val="22"/>
          <w:szCs w:val="22"/>
        </w:rPr>
        <w:t>,</w:t>
      </w:r>
      <w:r w:rsidRPr="00A93636">
        <w:rPr>
          <w:i/>
          <w:iCs/>
          <w:sz w:val="22"/>
          <w:szCs w:val="22"/>
        </w:rPr>
        <w:t xml:space="preserve"> avšak stále vnímáme dozvuky postcovidového období, na</w:t>
      </w:r>
      <w:r w:rsidR="0050747F">
        <w:rPr>
          <w:i/>
          <w:iCs/>
          <w:sz w:val="22"/>
          <w:szCs w:val="22"/>
        </w:rPr>
        <w:t> </w:t>
      </w:r>
      <w:r w:rsidRPr="00A93636">
        <w:rPr>
          <w:i/>
          <w:iCs/>
          <w:sz w:val="22"/>
          <w:szCs w:val="22"/>
        </w:rPr>
        <w:t>které</w:t>
      </w:r>
      <w:r w:rsidR="0050747F">
        <w:rPr>
          <w:i/>
          <w:iCs/>
          <w:sz w:val="22"/>
          <w:szCs w:val="22"/>
        </w:rPr>
        <w:t> </w:t>
      </w:r>
      <w:r w:rsidRPr="00A93636">
        <w:rPr>
          <w:i/>
          <w:iCs/>
          <w:sz w:val="22"/>
          <w:szCs w:val="22"/>
        </w:rPr>
        <w:t>plynule navázala fáze strmého růstu inflace</w:t>
      </w:r>
      <w:r>
        <w:rPr>
          <w:i/>
          <w:iCs/>
          <w:sz w:val="22"/>
          <w:szCs w:val="22"/>
        </w:rPr>
        <w:t>.</w:t>
      </w:r>
      <w:r w:rsidR="005D1442">
        <w:rPr>
          <w:i/>
          <w:iCs/>
          <w:sz w:val="22"/>
          <w:szCs w:val="22"/>
        </w:rPr>
        <w:t xml:space="preserve"> </w:t>
      </w:r>
      <w:r w:rsidRPr="00A93636">
        <w:rPr>
          <w:i/>
          <w:iCs/>
          <w:sz w:val="22"/>
          <w:szCs w:val="22"/>
        </w:rPr>
        <w:t xml:space="preserve">Návštěvnost nákupních center </w:t>
      </w:r>
      <w:r w:rsidR="005D1442">
        <w:rPr>
          <w:i/>
          <w:iCs/>
          <w:sz w:val="22"/>
          <w:szCs w:val="22"/>
        </w:rPr>
        <w:t xml:space="preserve">zatím </w:t>
      </w:r>
      <w:r w:rsidRPr="00A93636">
        <w:rPr>
          <w:i/>
          <w:iCs/>
          <w:sz w:val="22"/>
          <w:szCs w:val="22"/>
        </w:rPr>
        <w:t>stále nedosáhla úrov</w:t>
      </w:r>
      <w:r w:rsidR="005D1442">
        <w:rPr>
          <w:i/>
          <w:iCs/>
          <w:sz w:val="22"/>
          <w:szCs w:val="22"/>
        </w:rPr>
        <w:t>ně z</w:t>
      </w:r>
      <w:r w:rsidRPr="00A93636">
        <w:rPr>
          <w:i/>
          <w:iCs/>
          <w:sz w:val="22"/>
          <w:szCs w:val="22"/>
        </w:rPr>
        <w:t xml:space="preserve"> roku 2019</w:t>
      </w:r>
      <w:r w:rsidR="005D1442">
        <w:rPr>
          <w:i/>
          <w:iCs/>
          <w:sz w:val="22"/>
          <w:szCs w:val="22"/>
        </w:rPr>
        <w:t xml:space="preserve"> (o 5 %)</w:t>
      </w:r>
      <w:r w:rsidRPr="00A93636">
        <w:rPr>
          <w:i/>
          <w:iCs/>
          <w:sz w:val="22"/>
          <w:szCs w:val="22"/>
        </w:rPr>
        <w:t>, který je v maloobchodě považován za jeden z</w:t>
      </w:r>
      <w:r w:rsidR="005D1442">
        <w:rPr>
          <w:i/>
          <w:iCs/>
          <w:sz w:val="22"/>
          <w:szCs w:val="22"/>
        </w:rPr>
        <w:t xml:space="preserve"> historicky </w:t>
      </w:r>
      <w:r w:rsidRPr="00A93636">
        <w:rPr>
          <w:i/>
          <w:iCs/>
          <w:sz w:val="22"/>
          <w:szCs w:val="22"/>
        </w:rPr>
        <w:t>nejsilnějších</w:t>
      </w:r>
      <w:r w:rsidR="005D1442">
        <w:rPr>
          <w:i/>
          <w:iCs/>
          <w:sz w:val="22"/>
          <w:szCs w:val="22"/>
        </w:rPr>
        <w:t xml:space="preserve">. </w:t>
      </w:r>
      <w:r w:rsidRPr="00A93636">
        <w:rPr>
          <w:i/>
          <w:iCs/>
          <w:sz w:val="22"/>
          <w:szCs w:val="22"/>
        </w:rPr>
        <w:t xml:space="preserve">Tržby již rok 2019 překonaly, ale výrazný vliv na tom měla </w:t>
      </w:r>
      <w:r w:rsidR="00830674">
        <w:rPr>
          <w:i/>
          <w:iCs/>
          <w:sz w:val="22"/>
          <w:szCs w:val="22"/>
        </w:rPr>
        <w:t xml:space="preserve">právě </w:t>
      </w:r>
      <w:r w:rsidRPr="00A93636">
        <w:rPr>
          <w:i/>
          <w:iCs/>
          <w:sz w:val="22"/>
          <w:szCs w:val="22"/>
        </w:rPr>
        <w:t>inflace,“</w:t>
      </w:r>
      <w:r>
        <w:rPr>
          <w:sz w:val="22"/>
          <w:szCs w:val="22"/>
        </w:rPr>
        <w:t xml:space="preserve"> komentuje </w:t>
      </w:r>
      <w:r w:rsidRPr="00A93636">
        <w:rPr>
          <w:b/>
          <w:bCs/>
          <w:sz w:val="22"/>
          <w:szCs w:val="22"/>
        </w:rPr>
        <w:t>Jan Janáček, vedoucí retail sektoru a týmu maloobchodních pronájmů v</w:t>
      </w:r>
      <w:r w:rsidR="00BA7EBC">
        <w:rPr>
          <w:b/>
          <w:bCs/>
          <w:sz w:val="22"/>
          <w:szCs w:val="22"/>
        </w:rPr>
        <w:t> </w:t>
      </w:r>
      <w:r w:rsidRPr="00A93636">
        <w:rPr>
          <w:b/>
          <w:bCs/>
          <w:sz w:val="22"/>
          <w:szCs w:val="22"/>
        </w:rPr>
        <w:t>CBRE</w:t>
      </w:r>
      <w:r w:rsidR="00BA7EBC" w:rsidRPr="00BA7EBC">
        <w:rPr>
          <w:sz w:val="22"/>
          <w:szCs w:val="22"/>
        </w:rPr>
        <w:t>,</w:t>
      </w:r>
      <w:r w:rsidR="00E42949" w:rsidRPr="00BA7EBC">
        <w:rPr>
          <w:sz w:val="22"/>
          <w:szCs w:val="22"/>
        </w:rPr>
        <w:t xml:space="preserve"> </w:t>
      </w:r>
      <w:r w:rsidR="00E42949">
        <w:rPr>
          <w:sz w:val="22"/>
          <w:szCs w:val="22"/>
        </w:rPr>
        <w:t xml:space="preserve">a dodává: </w:t>
      </w:r>
      <w:r w:rsidR="00E42949" w:rsidRPr="00E42949">
        <w:rPr>
          <w:i/>
          <w:iCs/>
          <w:sz w:val="22"/>
          <w:szCs w:val="22"/>
        </w:rPr>
        <w:t>„</w:t>
      </w:r>
      <w:r w:rsidR="00A13219" w:rsidRPr="00E42949">
        <w:rPr>
          <w:i/>
          <w:iCs/>
          <w:sz w:val="22"/>
          <w:szCs w:val="22"/>
        </w:rPr>
        <w:t>Aktuální vývoj na trhu je velmi dynamický a vyžaduje od</w:t>
      </w:r>
      <w:r w:rsidR="0050747F">
        <w:rPr>
          <w:i/>
          <w:iCs/>
          <w:sz w:val="22"/>
          <w:szCs w:val="22"/>
        </w:rPr>
        <w:t> </w:t>
      </w:r>
      <w:r w:rsidR="00A13219" w:rsidRPr="00E42949">
        <w:rPr>
          <w:i/>
          <w:iCs/>
          <w:sz w:val="22"/>
          <w:szCs w:val="22"/>
        </w:rPr>
        <w:t>maloobchodníků rychlou adaptaci na požadavky zákazníků</w:t>
      </w:r>
      <w:r w:rsidR="00BA7EBC">
        <w:rPr>
          <w:i/>
          <w:iCs/>
          <w:sz w:val="22"/>
          <w:szCs w:val="22"/>
        </w:rPr>
        <w:t>, což mimo</w:t>
      </w:r>
      <w:r w:rsidR="008E1AED">
        <w:rPr>
          <w:i/>
          <w:iCs/>
          <w:sz w:val="22"/>
          <w:szCs w:val="22"/>
        </w:rPr>
        <w:t xml:space="preserve"> </w:t>
      </w:r>
      <w:r w:rsidR="00746BFC" w:rsidRPr="00746BFC">
        <w:rPr>
          <w:i/>
          <w:iCs/>
          <w:sz w:val="22"/>
          <w:szCs w:val="22"/>
        </w:rPr>
        <w:t>hladké propojení standardních a on-line prodejních kanálů</w:t>
      </w:r>
      <w:r w:rsidR="00746BFC">
        <w:rPr>
          <w:i/>
          <w:iCs/>
          <w:sz w:val="22"/>
          <w:szCs w:val="22"/>
        </w:rPr>
        <w:t xml:space="preserve">, </w:t>
      </w:r>
      <w:r w:rsidR="00BA7EBC">
        <w:rPr>
          <w:i/>
          <w:iCs/>
          <w:sz w:val="22"/>
          <w:szCs w:val="22"/>
        </w:rPr>
        <w:t xml:space="preserve">zahrnuje </w:t>
      </w:r>
      <w:r w:rsidR="00746BFC">
        <w:rPr>
          <w:i/>
          <w:iCs/>
          <w:sz w:val="22"/>
          <w:szCs w:val="22"/>
        </w:rPr>
        <w:t xml:space="preserve">také </w:t>
      </w:r>
      <w:r w:rsidR="00BA7EBC">
        <w:rPr>
          <w:i/>
          <w:iCs/>
          <w:sz w:val="22"/>
          <w:szCs w:val="22"/>
        </w:rPr>
        <w:lastRenderedPageBreak/>
        <w:t>zapojování moderních technologií včetně AI a</w:t>
      </w:r>
      <w:r w:rsidR="00E42949" w:rsidRPr="00E42949">
        <w:rPr>
          <w:i/>
          <w:iCs/>
          <w:sz w:val="22"/>
          <w:szCs w:val="22"/>
        </w:rPr>
        <w:t xml:space="preserve"> </w:t>
      </w:r>
      <w:r w:rsidR="00BA7EBC">
        <w:rPr>
          <w:i/>
          <w:iCs/>
          <w:sz w:val="22"/>
          <w:szCs w:val="22"/>
        </w:rPr>
        <w:t xml:space="preserve">důraz na </w:t>
      </w:r>
      <w:r w:rsidR="00E42949" w:rsidRPr="00E42949">
        <w:rPr>
          <w:i/>
          <w:iCs/>
          <w:sz w:val="22"/>
          <w:szCs w:val="22"/>
        </w:rPr>
        <w:t>u</w:t>
      </w:r>
      <w:r w:rsidR="004C3707" w:rsidRPr="00E42949">
        <w:rPr>
          <w:i/>
          <w:iCs/>
          <w:sz w:val="22"/>
          <w:szCs w:val="22"/>
        </w:rPr>
        <w:t>držitelnost</w:t>
      </w:r>
      <w:r w:rsidR="00BA7EBC">
        <w:rPr>
          <w:i/>
          <w:iCs/>
          <w:sz w:val="22"/>
          <w:szCs w:val="22"/>
        </w:rPr>
        <w:t xml:space="preserve">. Ta </w:t>
      </w:r>
      <w:r w:rsidR="004C3707" w:rsidRPr="00E42949">
        <w:rPr>
          <w:i/>
          <w:iCs/>
          <w:sz w:val="22"/>
          <w:szCs w:val="22"/>
        </w:rPr>
        <w:t xml:space="preserve">se </w:t>
      </w:r>
      <w:r w:rsidR="00E42949" w:rsidRPr="00E42949">
        <w:rPr>
          <w:i/>
          <w:iCs/>
          <w:sz w:val="22"/>
          <w:szCs w:val="22"/>
        </w:rPr>
        <w:t xml:space="preserve">v posledních letech </w:t>
      </w:r>
      <w:r w:rsidR="00BA7EBC" w:rsidRPr="00E42949">
        <w:rPr>
          <w:i/>
          <w:iCs/>
          <w:sz w:val="22"/>
          <w:szCs w:val="22"/>
        </w:rPr>
        <w:t xml:space="preserve">stala </w:t>
      </w:r>
      <w:r w:rsidR="00746BFC" w:rsidRPr="00746BFC">
        <w:rPr>
          <w:i/>
          <w:iCs/>
          <w:sz w:val="22"/>
          <w:szCs w:val="22"/>
        </w:rPr>
        <w:t xml:space="preserve">jedním z klíčových aspektů </w:t>
      </w:r>
      <w:r w:rsidR="00746BFC">
        <w:rPr>
          <w:i/>
          <w:iCs/>
          <w:sz w:val="22"/>
          <w:szCs w:val="22"/>
        </w:rPr>
        <w:t>při výstavbě</w:t>
      </w:r>
      <w:r w:rsidR="00746BFC" w:rsidRPr="00746BFC">
        <w:rPr>
          <w:i/>
          <w:iCs/>
          <w:sz w:val="22"/>
          <w:szCs w:val="22"/>
        </w:rPr>
        <w:t xml:space="preserve"> nových nákupních center, ale i provozu těch stávajících</w:t>
      </w:r>
      <w:r w:rsidR="004C3707" w:rsidRPr="00E42949">
        <w:rPr>
          <w:i/>
          <w:iCs/>
          <w:sz w:val="22"/>
          <w:szCs w:val="22"/>
        </w:rPr>
        <w:t>.</w:t>
      </w:r>
      <w:r w:rsidR="00E42949" w:rsidRPr="00E42949">
        <w:rPr>
          <w:i/>
          <w:iCs/>
          <w:sz w:val="22"/>
          <w:szCs w:val="22"/>
        </w:rPr>
        <w:t>“</w:t>
      </w:r>
      <w:r w:rsidR="004C3707" w:rsidRPr="00E42949">
        <w:rPr>
          <w:i/>
          <w:iCs/>
          <w:sz w:val="22"/>
          <w:szCs w:val="22"/>
        </w:rPr>
        <w:t xml:space="preserve"> </w:t>
      </w:r>
    </w:p>
    <w:p w14:paraId="0773279B" w14:textId="77777777" w:rsidR="004434A3" w:rsidRDefault="004434A3" w:rsidP="00E3704D">
      <w:pPr>
        <w:pStyle w:val="BodyCopy"/>
        <w:rPr>
          <w:i/>
          <w:iCs/>
          <w:sz w:val="22"/>
          <w:szCs w:val="22"/>
        </w:rPr>
      </w:pPr>
    </w:p>
    <w:p w14:paraId="2243AC48" w14:textId="2F85E553" w:rsidR="004434A3" w:rsidRPr="00E3704D" w:rsidRDefault="004434A3" w:rsidP="001E01E3">
      <w:pPr>
        <w:pStyle w:val="Body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EE" w:themeFill="background2" w:themeFillTint="33"/>
        <w:rPr>
          <w:sz w:val="22"/>
          <w:szCs w:val="22"/>
        </w:rPr>
      </w:pPr>
      <w:r w:rsidRPr="005B18C9">
        <w:rPr>
          <w:b/>
          <w:bCs/>
          <w:sz w:val="22"/>
          <w:szCs w:val="22"/>
        </w:rPr>
        <w:t xml:space="preserve">CBRE pomáhala s expanzí </w:t>
      </w:r>
      <w:r>
        <w:rPr>
          <w:b/>
          <w:bCs/>
          <w:sz w:val="22"/>
          <w:szCs w:val="22"/>
        </w:rPr>
        <w:t xml:space="preserve">řady </w:t>
      </w:r>
      <w:r w:rsidRPr="005B18C9">
        <w:rPr>
          <w:b/>
          <w:bCs/>
          <w:sz w:val="22"/>
          <w:szCs w:val="22"/>
        </w:rPr>
        <w:t>zahraničních značek na český trh</w:t>
      </w:r>
      <w:r>
        <w:rPr>
          <w:sz w:val="22"/>
          <w:szCs w:val="22"/>
        </w:rPr>
        <w:br/>
        <w:t>A</w:t>
      </w:r>
      <w:r w:rsidRPr="00E3704D">
        <w:rPr>
          <w:sz w:val="22"/>
          <w:szCs w:val="22"/>
        </w:rPr>
        <w:t xml:space="preserve">ť již na straně pronajímatele </w:t>
      </w:r>
      <w:r>
        <w:rPr>
          <w:sz w:val="22"/>
          <w:szCs w:val="22"/>
        </w:rPr>
        <w:t>a</w:t>
      </w:r>
      <w:r w:rsidRPr="00E3704D">
        <w:rPr>
          <w:sz w:val="22"/>
          <w:szCs w:val="22"/>
        </w:rPr>
        <w:t xml:space="preserve">nebo </w:t>
      </w:r>
      <w:r>
        <w:rPr>
          <w:sz w:val="22"/>
          <w:szCs w:val="22"/>
        </w:rPr>
        <w:t xml:space="preserve">formou </w:t>
      </w:r>
      <w:r w:rsidRPr="00E3704D">
        <w:rPr>
          <w:sz w:val="22"/>
          <w:szCs w:val="22"/>
        </w:rPr>
        <w:t>exkluzivního zastupování značek při jejich expanzi</w:t>
      </w:r>
      <w:r>
        <w:rPr>
          <w:sz w:val="22"/>
          <w:szCs w:val="22"/>
        </w:rPr>
        <w:t>, se CBRE podílela na rozš</w:t>
      </w:r>
      <w:r w:rsidR="00C36C83">
        <w:rPr>
          <w:sz w:val="22"/>
          <w:szCs w:val="22"/>
        </w:rPr>
        <w:t>i</w:t>
      </w:r>
      <w:r>
        <w:rPr>
          <w:sz w:val="22"/>
          <w:szCs w:val="22"/>
        </w:rPr>
        <w:t>ř</w:t>
      </w:r>
      <w:r w:rsidR="00625311">
        <w:rPr>
          <w:sz w:val="22"/>
          <w:szCs w:val="22"/>
        </w:rPr>
        <w:t>ová</w:t>
      </w:r>
      <w:r>
        <w:rPr>
          <w:sz w:val="22"/>
          <w:szCs w:val="22"/>
        </w:rPr>
        <w:t xml:space="preserve">ní nabídky tuzemských obchodních center a luxusních butiků na high street. Na český trh pomáhala značkám jako </w:t>
      </w:r>
      <w:r w:rsidRPr="00E3704D">
        <w:rPr>
          <w:sz w:val="22"/>
          <w:szCs w:val="22"/>
        </w:rPr>
        <w:t>Samsung, Tous</w:t>
      </w:r>
      <w:r>
        <w:rPr>
          <w:sz w:val="22"/>
          <w:szCs w:val="22"/>
        </w:rPr>
        <w:t xml:space="preserve"> nebo</w:t>
      </w:r>
      <w:r w:rsidRPr="00E3704D">
        <w:rPr>
          <w:sz w:val="22"/>
          <w:szCs w:val="22"/>
        </w:rPr>
        <w:t xml:space="preserve"> Palmers, </w:t>
      </w:r>
      <w:r>
        <w:rPr>
          <w:sz w:val="22"/>
          <w:szCs w:val="22"/>
        </w:rPr>
        <w:t xml:space="preserve">stejně jako </w:t>
      </w:r>
      <w:r w:rsidRPr="00E3704D">
        <w:rPr>
          <w:sz w:val="22"/>
          <w:szCs w:val="22"/>
        </w:rPr>
        <w:t xml:space="preserve">Versace </w:t>
      </w:r>
      <w:r>
        <w:rPr>
          <w:sz w:val="22"/>
          <w:szCs w:val="22"/>
        </w:rPr>
        <w:t>či</w:t>
      </w:r>
      <w:r w:rsidRPr="00E3704D">
        <w:rPr>
          <w:sz w:val="22"/>
          <w:szCs w:val="22"/>
        </w:rPr>
        <w:t xml:space="preserve"> Ralph Lauren.</w:t>
      </w:r>
    </w:p>
    <w:p w14:paraId="203FA66B" w14:textId="7AB50AFA" w:rsidR="007A1333" w:rsidRDefault="0050747F" w:rsidP="00BF3F7A">
      <w:pPr>
        <w:pStyle w:val="BodyCop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7A1333" w:rsidRPr="007A1333">
        <w:rPr>
          <w:b/>
          <w:bCs/>
          <w:sz w:val="22"/>
          <w:szCs w:val="22"/>
        </w:rPr>
        <w:t xml:space="preserve">Transformace logistického trhu: </w:t>
      </w:r>
      <w:r w:rsidR="007A1333">
        <w:rPr>
          <w:b/>
          <w:bCs/>
          <w:sz w:val="22"/>
          <w:szCs w:val="22"/>
        </w:rPr>
        <w:t>r</w:t>
      </w:r>
      <w:r w:rsidR="007A1333" w:rsidRPr="007A1333">
        <w:rPr>
          <w:b/>
          <w:bCs/>
          <w:sz w:val="22"/>
          <w:szCs w:val="22"/>
        </w:rPr>
        <w:t xml:space="preserve">ozvoj infrastruktury, </w:t>
      </w:r>
      <w:r w:rsidR="007A1333">
        <w:rPr>
          <w:b/>
          <w:bCs/>
          <w:sz w:val="22"/>
          <w:szCs w:val="22"/>
        </w:rPr>
        <w:t xml:space="preserve">příliv zahraničních </w:t>
      </w:r>
      <w:r w:rsidR="007A1333" w:rsidRPr="007A1333">
        <w:rPr>
          <w:b/>
          <w:bCs/>
          <w:sz w:val="22"/>
          <w:szCs w:val="22"/>
        </w:rPr>
        <w:t>investic</w:t>
      </w:r>
      <w:r w:rsidR="007A1333">
        <w:rPr>
          <w:b/>
          <w:bCs/>
          <w:sz w:val="22"/>
          <w:szCs w:val="22"/>
        </w:rPr>
        <w:t xml:space="preserve"> </w:t>
      </w:r>
      <w:r w:rsidR="007A1333" w:rsidRPr="007A1333">
        <w:rPr>
          <w:b/>
          <w:bCs/>
          <w:sz w:val="22"/>
          <w:szCs w:val="22"/>
        </w:rPr>
        <w:t>a vzestup e-commerce</w:t>
      </w:r>
    </w:p>
    <w:p w14:paraId="2FE5F796" w14:textId="423C20B9" w:rsidR="00BF3F7A" w:rsidRDefault="005B0D09" w:rsidP="00BF3F7A">
      <w:pPr>
        <w:pStyle w:val="BodyCopy"/>
        <w:rPr>
          <w:sz w:val="22"/>
          <w:szCs w:val="22"/>
        </w:rPr>
      </w:pPr>
      <w:r>
        <w:rPr>
          <w:sz w:val="22"/>
          <w:szCs w:val="22"/>
        </w:rPr>
        <w:t>T</w:t>
      </w:r>
      <w:r w:rsidR="00BF3F7A" w:rsidRPr="00BF3F7A">
        <w:rPr>
          <w:sz w:val="22"/>
          <w:szCs w:val="22"/>
        </w:rPr>
        <w:t xml:space="preserve">rh </w:t>
      </w:r>
      <w:r w:rsidR="007A1333">
        <w:rPr>
          <w:sz w:val="22"/>
          <w:szCs w:val="22"/>
        </w:rPr>
        <w:t xml:space="preserve">průmyslových a logistických nemovitostí </w:t>
      </w:r>
      <w:r w:rsidR="00BF3F7A" w:rsidRPr="00BF3F7A">
        <w:rPr>
          <w:sz w:val="22"/>
          <w:szCs w:val="22"/>
        </w:rPr>
        <w:t>se za posledních 25 let výrazně vyvinul, a</w:t>
      </w:r>
      <w:r w:rsidR="00B5103F">
        <w:rPr>
          <w:sz w:val="22"/>
          <w:szCs w:val="22"/>
        </w:rPr>
        <w:t xml:space="preserve"> to </w:t>
      </w:r>
      <w:r w:rsidR="007A1333">
        <w:rPr>
          <w:sz w:val="22"/>
          <w:szCs w:val="22"/>
        </w:rPr>
        <w:t xml:space="preserve">z pohledu </w:t>
      </w:r>
      <w:r w:rsidR="00BF3F7A" w:rsidRPr="00BF3F7A">
        <w:rPr>
          <w:sz w:val="22"/>
          <w:szCs w:val="22"/>
        </w:rPr>
        <w:t>velikosti</w:t>
      </w:r>
      <w:r w:rsidR="00D21E03">
        <w:rPr>
          <w:sz w:val="22"/>
          <w:szCs w:val="22"/>
        </w:rPr>
        <w:t xml:space="preserve">, </w:t>
      </w:r>
      <w:r w:rsidR="00BF3F7A" w:rsidRPr="00BF3F7A">
        <w:rPr>
          <w:sz w:val="22"/>
          <w:szCs w:val="22"/>
        </w:rPr>
        <w:t xml:space="preserve">počtu developerů </w:t>
      </w:r>
      <w:r w:rsidR="00B5103F">
        <w:rPr>
          <w:sz w:val="22"/>
          <w:szCs w:val="22"/>
        </w:rPr>
        <w:t>i</w:t>
      </w:r>
      <w:r w:rsidR="00BF3F7A" w:rsidRPr="00BF3F7A">
        <w:rPr>
          <w:sz w:val="22"/>
          <w:szCs w:val="22"/>
        </w:rPr>
        <w:t xml:space="preserve"> nájemců, kteří na </w:t>
      </w:r>
      <w:r w:rsidR="007A1333">
        <w:rPr>
          <w:sz w:val="22"/>
          <w:szCs w:val="22"/>
        </w:rPr>
        <w:t>něm</w:t>
      </w:r>
      <w:r w:rsidR="00BF3F7A" w:rsidRPr="00BF3F7A">
        <w:rPr>
          <w:sz w:val="22"/>
          <w:szCs w:val="22"/>
        </w:rPr>
        <w:t xml:space="preserve"> působí. </w:t>
      </w:r>
      <w:r>
        <w:rPr>
          <w:sz w:val="22"/>
          <w:szCs w:val="22"/>
        </w:rPr>
        <w:t xml:space="preserve">Letos ve </w:t>
      </w:r>
      <w:r w:rsidR="00E77A43">
        <w:rPr>
          <w:sz w:val="22"/>
          <w:szCs w:val="22"/>
        </w:rPr>
        <w:t>3</w:t>
      </w:r>
      <w:r w:rsidR="00B5103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F3F7A" w:rsidRPr="00BF3F7A">
        <w:rPr>
          <w:sz w:val="22"/>
          <w:szCs w:val="22"/>
        </w:rPr>
        <w:t xml:space="preserve">čtvrtletí </w:t>
      </w:r>
      <w:r w:rsidR="00E77A43">
        <w:rPr>
          <w:sz w:val="22"/>
          <w:szCs w:val="22"/>
        </w:rPr>
        <w:t>dosáhl</w:t>
      </w:r>
      <w:r w:rsidR="00E77A43" w:rsidRPr="00BF3F7A">
        <w:rPr>
          <w:sz w:val="22"/>
          <w:szCs w:val="22"/>
        </w:rPr>
        <w:t xml:space="preserve"> </w:t>
      </w:r>
      <w:r w:rsidR="007A1333">
        <w:rPr>
          <w:sz w:val="22"/>
          <w:szCs w:val="22"/>
        </w:rPr>
        <w:t xml:space="preserve">celkový objem pronajímatelných ploch </w:t>
      </w:r>
      <w:r w:rsidR="00BF3F7A" w:rsidRPr="00BF3F7A">
        <w:rPr>
          <w:sz w:val="22"/>
          <w:szCs w:val="22"/>
        </w:rPr>
        <w:t>12</w:t>
      </w:r>
      <w:r w:rsidR="00E77A43">
        <w:rPr>
          <w:sz w:val="22"/>
          <w:szCs w:val="22"/>
        </w:rPr>
        <w:t>,1</w:t>
      </w:r>
      <w:r w:rsidR="00BF3F7A" w:rsidRPr="00BF3F7A">
        <w:rPr>
          <w:sz w:val="22"/>
          <w:szCs w:val="22"/>
        </w:rPr>
        <w:t xml:space="preserve"> milionů m</w:t>
      </w:r>
      <w:r w:rsidR="007A1333" w:rsidRPr="007A1333">
        <w:rPr>
          <w:sz w:val="22"/>
          <w:szCs w:val="22"/>
          <w:vertAlign w:val="superscript"/>
        </w:rPr>
        <w:t>2</w:t>
      </w:r>
      <w:r w:rsidR="007A1333">
        <w:rPr>
          <w:sz w:val="22"/>
          <w:szCs w:val="22"/>
        </w:rPr>
        <w:t xml:space="preserve">, </w:t>
      </w:r>
      <w:r w:rsidR="00BF3F7A" w:rsidRPr="00BF3F7A">
        <w:rPr>
          <w:sz w:val="22"/>
          <w:szCs w:val="22"/>
        </w:rPr>
        <w:t xml:space="preserve">z toho </w:t>
      </w:r>
      <w:r w:rsidR="00B5103F" w:rsidRPr="00BF3F7A">
        <w:rPr>
          <w:sz w:val="22"/>
          <w:szCs w:val="22"/>
        </w:rPr>
        <w:t>2</w:t>
      </w:r>
      <w:r w:rsidR="00B5103F">
        <w:rPr>
          <w:sz w:val="22"/>
          <w:szCs w:val="22"/>
        </w:rPr>
        <w:t>,6 milionů bylo dokončeno</w:t>
      </w:r>
      <w:r w:rsidR="00B5103F" w:rsidRPr="00BF3F7A">
        <w:rPr>
          <w:sz w:val="22"/>
          <w:szCs w:val="22"/>
        </w:rPr>
        <w:t xml:space="preserve"> </w:t>
      </w:r>
      <w:r w:rsidR="00BF3F7A" w:rsidRPr="00BF3F7A">
        <w:rPr>
          <w:sz w:val="22"/>
          <w:szCs w:val="22"/>
        </w:rPr>
        <w:t>jenom v posledních třech letech</w:t>
      </w:r>
      <w:r>
        <w:rPr>
          <w:sz w:val="22"/>
          <w:szCs w:val="22"/>
        </w:rPr>
        <w:t>.</w:t>
      </w:r>
      <w:r w:rsidR="00BF3F7A" w:rsidRPr="00BF3F7A">
        <w:rPr>
          <w:sz w:val="22"/>
          <w:szCs w:val="22"/>
        </w:rPr>
        <w:t xml:space="preserve"> </w:t>
      </w:r>
    </w:p>
    <w:p w14:paraId="5D9CDCFF" w14:textId="77777777" w:rsidR="007A1333" w:rsidRDefault="007A1333" w:rsidP="00BF3F7A">
      <w:pPr>
        <w:pStyle w:val="BodyCopy"/>
        <w:rPr>
          <w:sz w:val="22"/>
          <w:szCs w:val="22"/>
        </w:rPr>
      </w:pPr>
    </w:p>
    <w:p w14:paraId="2431CD17" w14:textId="73178059" w:rsidR="00BF3F7A" w:rsidRDefault="007A1333" w:rsidP="007B1E5B">
      <w:pPr>
        <w:pStyle w:val="BodyCopy"/>
        <w:rPr>
          <w:sz w:val="22"/>
          <w:szCs w:val="22"/>
        </w:rPr>
      </w:pPr>
      <w:r>
        <w:rPr>
          <w:sz w:val="22"/>
          <w:szCs w:val="22"/>
        </w:rPr>
        <w:t xml:space="preserve">Základy pro tento růst položil vstup ČR do Evropské unie, která s pomocí evropských fondů začala budovat rozsáhlou </w:t>
      </w:r>
      <w:r w:rsidR="005B0D09">
        <w:rPr>
          <w:sz w:val="22"/>
          <w:szCs w:val="22"/>
        </w:rPr>
        <w:t xml:space="preserve">dopravní </w:t>
      </w:r>
      <w:r>
        <w:rPr>
          <w:sz w:val="22"/>
          <w:szCs w:val="22"/>
        </w:rPr>
        <w:t>infrastrukturu</w:t>
      </w:r>
      <w:r w:rsidR="00D21E03">
        <w:rPr>
          <w:sz w:val="22"/>
          <w:szCs w:val="22"/>
        </w:rPr>
        <w:t xml:space="preserve">. </w:t>
      </w:r>
      <w:r w:rsidR="00B5103F">
        <w:rPr>
          <w:sz w:val="22"/>
          <w:szCs w:val="22"/>
        </w:rPr>
        <w:t>Nová</w:t>
      </w:r>
      <w:r w:rsidR="00D21E03">
        <w:rPr>
          <w:sz w:val="22"/>
          <w:szCs w:val="22"/>
        </w:rPr>
        <w:t xml:space="preserve"> síť </w:t>
      </w:r>
      <w:r w:rsidR="005B0D09" w:rsidRPr="00BF3F7A">
        <w:rPr>
          <w:sz w:val="22"/>
          <w:szCs w:val="22"/>
        </w:rPr>
        <w:t>dálnic a železnic</w:t>
      </w:r>
      <w:r w:rsidR="004B1B59">
        <w:rPr>
          <w:sz w:val="22"/>
          <w:szCs w:val="22"/>
        </w:rPr>
        <w:t xml:space="preserve"> </w:t>
      </w:r>
      <w:r w:rsidR="005B0D09" w:rsidRPr="00BF3F7A">
        <w:rPr>
          <w:sz w:val="22"/>
          <w:szCs w:val="22"/>
        </w:rPr>
        <w:t>usnadnila přístup k průmyslovým zónám</w:t>
      </w:r>
      <w:r w:rsidR="004B1B59">
        <w:rPr>
          <w:sz w:val="22"/>
          <w:szCs w:val="22"/>
        </w:rPr>
        <w:t>, čímž</w:t>
      </w:r>
      <w:r w:rsidR="00444B4D">
        <w:rPr>
          <w:sz w:val="22"/>
          <w:szCs w:val="22"/>
        </w:rPr>
        <w:t> </w:t>
      </w:r>
      <w:r w:rsidR="004B1B59">
        <w:rPr>
          <w:sz w:val="22"/>
          <w:szCs w:val="22"/>
        </w:rPr>
        <w:t xml:space="preserve">odstartovala příliv zahraničních investic, </w:t>
      </w:r>
      <w:r w:rsidR="004B1B59" w:rsidRPr="00BF3F7A">
        <w:rPr>
          <w:sz w:val="22"/>
          <w:szCs w:val="22"/>
        </w:rPr>
        <w:t>zejména z Německa, Japonska a Jižní Koreje</w:t>
      </w:r>
      <w:r>
        <w:rPr>
          <w:sz w:val="22"/>
          <w:szCs w:val="22"/>
        </w:rPr>
        <w:t>.</w:t>
      </w:r>
      <w:r w:rsidR="007B1E5B">
        <w:rPr>
          <w:sz w:val="22"/>
          <w:szCs w:val="22"/>
        </w:rPr>
        <w:t xml:space="preserve"> </w:t>
      </w:r>
      <w:r w:rsidRPr="007B1E5B">
        <w:rPr>
          <w:i/>
          <w:iCs/>
          <w:sz w:val="22"/>
          <w:szCs w:val="22"/>
        </w:rPr>
        <w:t>„I</w:t>
      </w:r>
      <w:r w:rsidR="00BF3F7A" w:rsidRPr="007B1E5B">
        <w:rPr>
          <w:i/>
          <w:iCs/>
          <w:sz w:val="22"/>
          <w:szCs w:val="22"/>
        </w:rPr>
        <w:t xml:space="preserve"> když se </w:t>
      </w:r>
      <w:r w:rsidR="004B1B59" w:rsidRPr="007B1E5B">
        <w:rPr>
          <w:i/>
          <w:iCs/>
          <w:sz w:val="22"/>
          <w:szCs w:val="22"/>
        </w:rPr>
        <w:t>může zdát</w:t>
      </w:r>
      <w:r w:rsidR="00BF3F7A" w:rsidRPr="007B1E5B">
        <w:rPr>
          <w:i/>
          <w:iCs/>
          <w:sz w:val="22"/>
          <w:szCs w:val="22"/>
        </w:rPr>
        <w:t>, že</w:t>
      </w:r>
      <w:r w:rsidR="0050747F">
        <w:rPr>
          <w:i/>
          <w:iCs/>
          <w:sz w:val="22"/>
          <w:szCs w:val="22"/>
        </w:rPr>
        <w:t> </w:t>
      </w:r>
      <w:r w:rsidR="00BF3F7A" w:rsidRPr="007B1E5B">
        <w:rPr>
          <w:i/>
          <w:iCs/>
          <w:sz w:val="22"/>
          <w:szCs w:val="22"/>
        </w:rPr>
        <w:t xml:space="preserve">výstavba </w:t>
      </w:r>
      <w:r w:rsidR="005B0D09" w:rsidRPr="007B1E5B">
        <w:rPr>
          <w:i/>
          <w:iCs/>
          <w:sz w:val="22"/>
          <w:szCs w:val="22"/>
        </w:rPr>
        <w:t xml:space="preserve">tuzemských </w:t>
      </w:r>
      <w:r w:rsidR="00BF3F7A" w:rsidRPr="007B1E5B">
        <w:rPr>
          <w:i/>
          <w:iCs/>
          <w:sz w:val="22"/>
          <w:szCs w:val="22"/>
        </w:rPr>
        <w:t xml:space="preserve">dálnic postupuje pomalu, tak </w:t>
      </w:r>
      <w:r w:rsidR="005B0D09" w:rsidRPr="007B1E5B">
        <w:rPr>
          <w:i/>
          <w:iCs/>
          <w:sz w:val="22"/>
          <w:szCs w:val="22"/>
        </w:rPr>
        <w:t xml:space="preserve">se </w:t>
      </w:r>
      <w:r w:rsidR="001A4E51">
        <w:rPr>
          <w:i/>
          <w:iCs/>
          <w:sz w:val="22"/>
          <w:szCs w:val="22"/>
        </w:rPr>
        <w:t>jejich</w:t>
      </w:r>
      <w:r w:rsidR="00BF3F7A" w:rsidRPr="007B1E5B">
        <w:rPr>
          <w:i/>
          <w:iCs/>
          <w:sz w:val="22"/>
          <w:szCs w:val="22"/>
        </w:rPr>
        <w:t xml:space="preserve"> síť </w:t>
      </w:r>
      <w:r w:rsidR="004B1B59" w:rsidRPr="007B1E5B">
        <w:rPr>
          <w:i/>
          <w:iCs/>
          <w:sz w:val="22"/>
          <w:szCs w:val="22"/>
        </w:rPr>
        <w:t xml:space="preserve">za poslední </w:t>
      </w:r>
      <w:r w:rsidR="006F2F38">
        <w:rPr>
          <w:i/>
          <w:iCs/>
          <w:sz w:val="22"/>
          <w:szCs w:val="22"/>
        </w:rPr>
        <w:t xml:space="preserve">roky téměř ztrojnásobila. </w:t>
      </w:r>
      <w:r w:rsidR="005B0D09" w:rsidRPr="007B1E5B">
        <w:rPr>
          <w:i/>
          <w:iCs/>
          <w:sz w:val="22"/>
          <w:szCs w:val="22"/>
        </w:rPr>
        <w:t>Zatímco v</w:t>
      </w:r>
      <w:r w:rsidR="0050747F">
        <w:rPr>
          <w:i/>
          <w:iCs/>
          <w:sz w:val="22"/>
          <w:szCs w:val="22"/>
        </w:rPr>
        <w:t> </w:t>
      </w:r>
      <w:r w:rsidR="00BF3F7A" w:rsidRPr="007B1E5B">
        <w:rPr>
          <w:i/>
          <w:iCs/>
          <w:sz w:val="22"/>
          <w:szCs w:val="22"/>
        </w:rPr>
        <w:t xml:space="preserve">roce 1999 </w:t>
      </w:r>
      <w:r w:rsidR="001A4E51">
        <w:rPr>
          <w:i/>
          <w:iCs/>
          <w:sz w:val="22"/>
          <w:szCs w:val="22"/>
        </w:rPr>
        <w:t>zahrnovala</w:t>
      </w:r>
      <w:r w:rsidR="00BF3F7A" w:rsidRPr="007B1E5B">
        <w:rPr>
          <w:i/>
          <w:iCs/>
          <w:sz w:val="22"/>
          <w:szCs w:val="22"/>
        </w:rPr>
        <w:t xml:space="preserve"> 502 km dálnic</w:t>
      </w:r>
      <w:r w:rsidR="005B0D09" w:rsidRPr="007B1E5B">
        <w:rPr>
          <w:i/>
          <w:iCs/>
          <w:sz w:val="22"/>
          <w:szCs w:val="22"/>
        </w:rPr>
        <w:t xml:space="preserve">, začátkem letošního roku již </w:t>
      </w:r>
      <w:r w:rsidR="001A4E51">
        <w:rPr>
          <w:i/>
          <w:iCs/>
          <w:sz w:val="22"/>
          <w:szCs w:val="22"/>
        </w:rPr>
        <w:t xml:space="preserve">činila </w:t>
      </w:r>
      <w:r w:rsidR="00BF3F7A" w:rsidRPr="007B1E5B">
        <w:rPr>
          <w:i/>
          <w:iCs/>
          <w:sz w:val="22"/>
          <w:szCs w:val="22"/>
        </w:rPr>
        <w:t>1 388 km</w:t>
      </w:r>
      <w:r w:rsidR="007B1E5B" w:rsidRPr="007B1E5B">
        <w:rPr>
          <w:i/>
          <w:iCs/>
          <w:sz w:val="22"/>
          <w:szCs w:val="22"/>
        </w:rPr>
        <w:t>,“</w:t>
      </w:r>
      <w:r w:rsidR="007B1E5B">
        <w:rPr>
          <w:sz w:val="22"/>
          <w:szCs w:val="22"/>
        </w:rPr>
        <w:t xml:space="preserve"> popisuje </w:t>
      </w:r>
      <w:r w:rsidR="007B1E5B" w:rsidRPr="007B1E5B">
        <w:rPr>
          <w:b/>
          <w:bCs/>
          <w:sz w:val="22"/>
          <w:szCs w:val="22"/>
        </w:rPr>
        <w:t>Jan Hřivnacký, vedoucí pronájmů industriálních nemovitostí v CBRE</w:t>
      </w:r>
      <w:r w:rsidR="007B1E5B">
        <w:rPr>
          <w:sz w:val="22"/>
          <w:szCs w:val="22"/>
        </w:rPr>
        <w:t>.</w:t>
      </w:r>
    </w:p>
    <w:p w14:paraId="7D84BE6A" w14:textId="77777777" w:rsidR="007B1E5B" w:rsidRDefault="007B1E5B" w:rsidP="007B1E5B">
      <w:pPr>
        <w:pStyle w:val="BodyCopy"/>
        <w:rPr>
          <w:sz w:val="22"/>
          <w:szCs w:val="22"/>
        </w:rPr>
      </w:pPr>
    </w:p>
    <w:p w14:paraId="5F14DA17" w14:textId="1E0623BF" w:rsidR="006B40A1" w:rsidRDefault="007B1E5B" w:rsidP="007B1E5B">
      <w:pPr>
        <w:pStyle w:val="BodyCopy"/>
        <w:rPr>
          <w:sz w:val="22"/>
          <w:szCs w:val="22"/>
        </w:rPr>
      </w:pPr>
      <w:r>
        <w:rPr>
          <w:sz w:val="22"/>
          <w:szCs w:val="22"/>
        </w:rPr>
        <w:t>Velkou roli v rozvoji průmyslových a logistických zón sehrál</w:t>
      </w:r>
      <w:r w:rsidR="006872E0">
        <w:rPr>
          <w:sz w:val="22"/>
          <w:szCs w:val="22"/>
        </w:rPr>
        <w:t xml:space="preserve">a </w:t>
      </w:r>
      <w:r w:rsidR="006F2F38">
        <w:rPr>
          <w:sz w:val="22"/>
          <w:szCs w:val="22"/>
        </w:rPr>
        <w:t xml:space="preserve">také </w:t>
      </w:r>
      <w:r w:rsidR="006872E0">
        <w:rPr>
          <w:sz w:val="22"/>
          <w:szCs w:val="22"/>
        </w:rPr>
        <w:t xml:space="preserve">vláda a </w:t>
      </w:r>
      <w:r w:rsidR="006872E0" w:rsidRPr="00BF3F7A">
        <w:rPr>
          <w:sz w:val="22"/>
          <w:szCs w:val="22"/>
        </w:rPr>
        <w:t>regionální samosprávy</w:t>
      </w:r>
      <w:r w:rsidR="006872E0">
        <w:rPr>
          <w:sz w:val="22"/>
          <w:szCs w:val="22"/>
        </w:rPr>
        <w:t>, které</w:t>
      </w:r>
      <w:r w:rsidR="006872E0" w:rsidRPr="00BF3F7A">
        <w:rPr>
          <w:sz w:val="22"/>
          <w:szCs w:val="22"/>
        </w:rPr>
        <w:t xml:space="preserve"> aktivně podporovaly </w:t>
      </w:r>
      <w:r w:rsidR="006872E0">
        <w:rPr>
          <w:sz w:val="22"/>
          <w:szCs w:val="22"/>
        </w:rPr>
        <w:t xml:space="preserve">jejich </w:t>
      </w:r>
      <w:r w:rsidR="006872E0" w:rsidRPr="00BF3F7A">
        <w:rPr>
          <w:sz w:val="22"/>
          <w:szCs w:val="22"/>
        </w:rPr>
        <w:t xml:space="preserve">vznik a </w:t>
      </w:r>
      <w:r w:rsidR="006872E0">
        <w:rPr>
          <w:sz w:val="22"/>
          <w:szCs w:val="22"/>
        </w:rPr>
        <w:t>tím</w:t>
      </w:r>
      <w:r w:rsidR="006872E0" w:rsidRPr="00BF3F7A">
        <w:rPr>
          <w:sz w:val="22"/>
          <w:szCs w:val="22"/>
        </w:rPr>
        <w:t xml:space="preserve"> </w:t>
      </w:r>
      <w:r w:rsidR="006872E0">
        <w:rPr>
          <w:sz w:val="22"/>
          <w:szCs w:val="22"/>
        </w:rPr>
        <w:t xml:space="preserve">lákaly </w:t>
      </w:r>
      <w:r w:rsidR="006872E0" w:rsidRPr="00BF3F7A">
        <w:rPr>
          <w:sz w:val="22"/>
          <w:szCs w:val="22"/>
        </w:rPr>
        <w:t>nové investory</w:t>
      </w:r>
      <w:r w:rsidR="006872E0">
        <w:rPr>
          <w:sz w:val="22"/>
          <w:szCs w:val="22"/>
        </w:rPr>
        <w:t>. Svůj vliv měly i i</w:t>
      </w:r>
      <w:r w:rsidR="006872E0" w:rsidRPr="00B927BD">
        <w:rPr>
          <w:sz w:val="22"/>
          <w:szCs w:val="22"/>
        </w:rPr>
        <w:t>nvestice do moderních technologií a</w:t>
      </w:r>
      <w:r w:rsidR="0050747F">
        <w:rPr>
          <w:sz w:val="22"/>
          <w:szCs w:val="22"/>
        </w:rPr>
        <w:t> </w:t>
      </w:r>
      <w:r w:rsidR="006872E0" w:rsidRPr="00B927BD">
        <w:rPr>
          <w:sz w:val="22"/>
          <w:szCs w:val="22"/>
        </w:rPr>
        <w:t>automatizace</w:t>
      </w:r>
      <w:r w:rsidR="006872E0">
        <w:rPr>
          <w:sz w:val="22"/>
          <w:szCs w:val="22"/>
        </w:rPr>
        <w:t xml:space="preserve">, které </w:t>
      </w:r>
      <w:r w:rsidR="006872E0" w:rsidRPr="00B927BD">
        <w:rPr>
          <w:sz w:val="22"/>
          <w:szCs w:val="22"/>
        </w:rPr>
        <w:t>zvýšily konkurenceschopnost českých průmyslových podniků</w:t>
      </w:r>
      <w:r w:rsidR="00BF3F7A" w:rsidRPr="00BF3F7A">
        <w:rPr>
          <w:sz w:val="22"/>
          <w:szCs w:val="22"/>
        </w:rPr>
        <w:t>.</w:t>
      </w:r>
      <w:r>
        <w:rPr>
          <w:sz w:val="22"/>
          <w:szCs w:val="22"/>
        </w:rPr>
        <w:t xml:space="preserve"> Mezi výrazné milníky</w:t>
      </w:r>
      <w:r w:rsidR="006B40A1">
        <w:rPr>
          <w:sz w:val="22"/>
          <w:szCs w:val="22"/>
        </w:rPr>
        <w:t>, které</w:t>
      </w:r>
      <w:r w:rsidR="0050747F">
        <w:rPr>
          <w:sz w:val="22"/>
          <w:szCs w:val="22"/>
        </w:rPr>
        <w:t> </w:t>
      </w:r>
      <w:r w:rsidR="006B40A1">
        <w:rPr>
          <w:sz w:val="22"/>
          <w:szCs w:val="22"/>
        </w:rPr>
        <w:t>definovaly</w:t>
      </w:r>
      <w:r w:rsidR="00B927BD">
        <w:rPr>
          <w:sz w:val="22"/>
          <w:szCs w:val="22"/>
        </w:rPr>
        <w:t xml:space="preserve"> </w:t>
      </w:r>
      <w:r w:rsidR="006B40A1" w:rsidRPr="00BF3F7A">
        <w:rPr>
          <w:sz w:val="22"/>
          <w:szCs w:val="22"/>
        </w:rPr>
        <w:t>dnešní trh</w:t>
      </w:r>
      <w:r w:rsidR="006B40A1">
        <w:rPr>
          <w:sz w:val="22"/>
          <w:szCs w:val="22"/>
        </w:rPr>
        <w:t>, l</w:t>
      </w:r>
      <w:r>
        <w:rPr>
          <w:sz w:val="22"/>
          <w:szCs w:val="22"/>
        </w:rPr>
        <w:t xml:space="preserve">ze považovat </w:t>
      </w:r>
      <w:r w:rsidRPr="00BF3F7A">
        <w:rPr>
          <w:sz w:val="22"/>
          <w:szCs w:val="22"/>
        </w:rPr>
        <w:t xml:space="preserve">založení </w:t>
      </w:r>
      <w:r>
        <w:rPr>
          <w:sz w:val="22"/>
          <w:szCs w:val="22"/>
        </w:rPr>
        <w:t xml:space="preserve">developerské společnosti </w:t>
      </w:r>
      <w:r w:rsidRPr="00BF3F7A">
        <w:rPr>
          <w:sz w:val="22"/>
          <w:szCs w:val="22"/>
        </w:rPr>
        <w:t>CTP a je</w:t>
      </w:r>
      <w:r>
        <w:rPr>
          <w:sz w:val="22"/>
          <w:szCs w:val="22"/>
        </w:rPr>
        <w:t xml:space="preserve">jí </w:t>
      </w:r>
      <w:r w:rsidRPr="00BF3F7A">
        <w:rPr>
          <w:sz w:val="22"/>
          <w:szCs w:val="22"/>
        </w:rPr>
        <w:t>dynamický růst v</w:t>
      </w:r>
      <w:r w:rsidR="0050747F">
        <w:rPr>
          <w:sz w:val="22"/>
          <w:szCs w:val="22"/>
        </w:rPr>
        <w:t> </w:t>
      </w:r>
      <w:r w:rsidRPr="00BF3F7A">
        <w:rPr>
          <w:sz w:val="22"/>
          <w:szCs w:val="22"/>
        </w:rPr>
        <w:t>regionálních městech</w:t>
      </w:r>
      <w:r>
        <w:rPr>
          <w:sz w:val="22"/>
          <w:szCs w:val="22"/>
        </w:rPr>
        <w:t>, akvizic</w:t>
      </w:r>
      <w:r w:rsidR="00912166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6B40A1">
        <w:rPr>
          <w:sz w:val="22"/>
          <w:szCs w:val="22"/>
        </w:rPr>
        <w:t xml:space="preserve">amerického </w:t>
      </w:r>
      <w:r w:rsidRPr="00BF3F7A">
        <w:rPr>
          <w:sz w:val="22"/>
          <w:szCs w:val="22"/>
        </w:rPr>
        <w:t>Prologis</w:t>
      </w:r>
      <w:r w:rsidR="006B40A1">
        <w:rPr>
          <w:sz w:val="22"/>
          <w:szCs w:val="22"/>
        </w:rPr>
        <w:t xml:space="preserve">u </w:t>
      </w:r>
      <w:r w:rsidRPr="00BF3F7A">
        <w:rPr>
          <w:sz w:val="22"/>
          <w:szCs w:val="22"/>
        </w:rPr>
        <w:t>v</w:t>
      </w:r>
      <w:r w:rsidR="006B40A1">
        <w:rPr>
          <w:sz w:val="22"/>
          <w:szCs w:val="22"/>
        </w:rPr>
        <w:t> </w:t>
      </w:r>
      <w:r w:rsidRPr="00BF3F7A">
        <w:rPr>
          <w:sz w:val="22"/>
          <w:szCs w:val="22"/>
        </w:rPr>
        <w:t>Rudné</w:t>
      </w:r>
      <w:r w:rsidR="006B40A1">
        <w:rPr>
          <w:sz w:val="22"/>
          <w:szCs w:val="22"/>
        </w:rPr>
        <w:t>, pr</w:t>
      </w:r>
      <w:r w:rsidRPr="00BF3F7A">
        <w:rPr>
          <w:sz w:val="22"/>
          <w:szCs w:val="22"/>
        </w:rPr>
        <w:t xml:space="preserve">odej portfolia </w:t>
      </w:r>
      <w:r w:rsidR="006B40A1" w:rsidRPr="006B40A1">
        <w:rPr>
          <w:sz w:val="22"/>
          <w:szCs w:val="22"/>
        </w:rPr>
        <w:t xml:space="preserve">11 logistických parků </w:t>
      </w:r>
      <w:r w:rsidR="006B40A1">
        <w:rPr>
          <w:sz w:val="22"/>
          <w:szCs w:val="22"/>
        </w:rPr>
        <w:t>ve</w:t>
      </w:r>
      <w:r w:rsidR="0050747F">
        <w:rPr>
          <w:sz w:val="22"/>
          <w:szCs w:val="22"/>
        </w:rPr>
        <w:t> </w:t>
      </w:r>
      <w:r w:rsidR="00375008">
        <w:rPr>
          <w:sz w:val="22"/>
          <w:szCs w:val="22"/>
        </w:rPr>
        <w:t xml:space="preserve">společném </w:t>
      </w:r>
      <w:r w:rsidR="006B40A1">
        <w:rPr>
          <w:sz w:val="22"/>
          <w:szCs w:val="22"/>
        </w:rPr>
        <w:t xml:space="preserve">vlastnictví </w:t>
      </w:r>
      <w:r w:rsidR="006B40A1" w:rsidRPr="006B40A1">
        <w:rPr>
          <w:sz w:val="22"/>
          <w:szCs w:val="22"/>
        </w:rPr>
        <w:t xml:space="preserve">Tristan Capital Partners a VGP </w:t>
      </w:r>
      <w:r w:rsidRPr="00BF3F7A">
        <w:rPr>
          <w:sz w:val="22"/>
          <w:szCs w:val="22"/>
        </w:rPr>
        <w:t>společnosti P3</w:t>
      </w:r>
      <w:r w:rsidR="006B40A1">
        <w:rPr>
          <w:sz w:val="22"/>
          <w:szCs w:val="22"/>
        </w:rPr>
        <w:t xml:space="preserve"> a také vý</w:t>
      </w:r>
      <w:r w:rsidRPr="00BF3F7A">
        <w:rPr>
          <w:sz w:val="22"/>
          <w:szCs w:val="22"/>
        </w:rPr>
        <w:t>stavb</w:t>
      </w:r>
      <w:r w:rsidR="00912166">
        <w:rPr>
          <w:sz w:val="22"/>
          <w:szCs w:val="22"/>
        </w:rPr>
        <w:t>u</w:t>
      </w:r>
      <w:r w:rsidRPr="00BF3F7A">
        <w:rPr>
          <w:sz w:val="22"/>
          <w:szCs w:val="22"/>
        </w:rPr>
        <w:t xml:space="preserve"> první</w:t>
      </w:r>
      <w:r w:rsidR="006B40A1">
        <w:rPr>
          <w:sz w:val="22"/>
          <w:szCs w:val="22"/>
        </w:rPr>
        <w:t>ho distribučního centra americk</w:t>
      </w:r>
      <w:r w:rsidR="00912166">
        <w:rPr>
          <w:sz w:val="22"/>
          <w:szCs w:val="22"/>
        </w:rPr>
        <w:t>ého</w:t>
      </w:r>
      <w:r w:rsidR="006B40A1">
        <w:rPr>
          <w:sz w:val="22"/>
          <w:szCs w:val="22"/>
        </w:rPr>
        <w:t xml:space="preserve"> internetov</w:t>
      </w:r>
      <w:r w:rsidR="00912166">
        <w:rPr>
          <w:sz w:val="22"/>
          <w:szCs w:val="22"/>
        </w:rPr>
        <w:t>ého</w:t>
      </w:r>
      <w:r w:rsidR="006B40A1">
        <w:rPr>
          <w:sz w:val="22"/>
          <w:szCs w:val="22"/>
        </w:rPr>
        <w:t xml:space="preserve"> obchod</w:t>
      </w:r>
      <w:r w:rsidR="00912166">
        <w:rPr>
          <w:sz w:val="22"/>
          <w:szCs w:val="22"/>
        </w:rPr>
        <w:t>u</w:t>
      </w:r>
      <w:r w:rsidR="0029645F">
        <w:rPr>
          <w:sz w:val="22"/>
          <w:szCs w:val="22"/>
        </w:rPr>
        <w:t xml:space="preserve"> s globální působností</w:t>
      </w:r>
      <w:r w:rsidR="006B40A1">
        <w:rPr>
          <w:sz w:val="22"/>
          <w:szCs w:val="22"/>
        </w:rPr>
        <w:t xml:space="preserve"> v </w:t>
      </w:r>
      <w:r w:rsidRPr="00BF3F7A">
        <w:rPr>
          <w:sz w:val="22"/>
          <w:szCs w:val="22"/>
        </w:rPr>
        <w:t>Dobrovízi</w:t>
      </w:r>
      <w:r w:rsidR="00FE659D" w:rsidRPr="00FE659D">
        <w:rPr>
          <w:sz w:val="22"/>
          <w:szCs w:val="22"/>
        </w:rPr>
        <w:t xml:space="preserve">, kterou realizovala </w:t>
      </w:r>
      <w:proofErr w:type="spellStart"/>
      <w:r w:rsidR="00FE659D" w:rsidRPr="00FE659D">
        <w:rPr>
          <w:sz w:val="22"/>
          <w:szCs w:val="22"/>
        </w:rPr>
        <w:t>Panattoni</w:t>
      </w:r>
      <w:proofErr w:type="spellEnd"/>
      <w:r w:rsidR="006B40A1">
        <w:rPr>
          <w:sz w:val="22"/>
          <w:szCs w:val="22"/>
        </w:rPr>
        <w:t>.</w:t>
      </w:r>
      <w:r w:rsidR="00B927BD">
        <w:rPr>
          <w:sz w:val="22"/>
          <w:szCs w:val="22"/>
        </w:rPr>
        <w:t xml:space="preserve"> </w:t>
      </w:r>
    </w:p>
    <w:p w14:paraId="3571A066" w14:textId="77777777" w:rsidR="006872E0" w:rsidRDefault="006872E0" w:rsidP="007B1E5B">
      <w:pPr>
        <w:pStyle w:val="BodyCopy"/>
        <w:rPr>
          <w:sz w:val="22"/>
          <w:szCs w:val="22"/>
        </w:rPr>
      </w:pPr>
    </w:p>
    <w:p w14:paraId="2F170344" w14:textId="10AE4FA6" w:rsidR="003C0CC7" w:rsidRDefault="006872E0" w:rsidP="007B1E5B">
      <w:pPr>
        <w:pStyle w:val="BodyCopy"/>
        <w:rPr>
          <w:i/>
          <w:iCs/>
          <w:sz w:val="22"/>
          <w:szCs w:val="22"/>
        </w:rPr>
      </w:pPr>
      <w:r w:rsidRPr="006872E0">
        <w:rPr>
          <w:i/>
          <w:iCs/>
          <w:sz w:val="22"/>
          <w:szCs w:val="22"/>
        </w:rPr>
        <w:t xml:space="preserve">„Zcela bezprecedentní byl boom e-commerce během pandemie covidu-19, který vedl k výraznému zvýšení poptávky po logistických a skladovacích prostorách. </w:t>
      </w:r>
      <w:r w:rsidR="007B1E5B" w:rsidRPr="006872E0">
        <w:rPr>
          <w:i/>
          <w:iCs/>
          <w:sz w:val="22"/>
          <w:szCs w:val="22"/>
        </w:rPr>
        <w:t>Aktuálně se nacházíme v situaci, kdy jsou za námi rekordní roky 2021-2023, které velmi výrazně přispěly k rozvoji trhu. Během těchto let došlo k nejvyšší poptávce po</w:t>
      </w:r>
      <w:r w:rsidR="0050747F">
        <w:rPr>
          <w:i/>
          <w:iCs/>
          <w:sz w:val="22"/>
          <w:szCs w:val="22"/>
        </w:rPr>
        <w:t> </w:t>
      </w:r>
      <w:r w:rsidR="007B1E5B" w:rsidRPr="006872E0">
        <w:rPr>
          <w:i/>
          <w:iCs/>
          <w:sz w:val="22"/>
          <w:szCs w:val="22"/>
        </w:rPr>
        <w:t xml:space="preserve">průmyslových prostorech, nejnižší zaznamenané neobsazenosti a nejvyšší aktivitě </w:t>
      </w:r>
      <w:r w:rsidR="00B927BD" w:rsidRPr="006872E0">
        <w:rPr>
          <w:i/>
          <w:iCs/>
          <w:sz w:val="22"/>
          <w:szCs w:val="22"/>
        </w:rPr>
        <w:t>z pohledu</w:t>
      </w:r>
      <w:r w:rsidR="007B1E5B" w:rsidRPr="006872E0">
        <w:rPr>
          <w:i/>
          <w:iCs/>
          <w:sz w:val="22"/>
          <w:szCs w:val="22"/>
        </w:rPr>
        <w:t xml:space="preserve"> výstavby. </w:t>
      </w:r>
      <w:bookmarkStart w:id="1" w:name="_Hlk181889310"/>
      <w:r w:rsidR="00FB72F4">
        <w:rPr>
          <w:i/>
          <w:iCs/>
          <w:sz w:val="22"/>
          <w:szCs w:val="22"/>
        </w:rPr>
        <w:t>Uz</w:t>
      </w:r>
      <w:r w:rsidR="00FE659D" w:rsidRPr="00FE659D">
        <w:rPr>
          <w:i/>
          <w:iCs/>
          <w:sz w:val="22"/>
          <w:szCs w:val="22"/>
        </w:rPr>
        <w:t>avřel</w:t>
      </w:r>
      <w:r w:rsidR="00C27977">
        <w:rPr>
          <w:i/>
          <w:iCs/>
          <w:sz w:val="22"/>
          <w:szCs w:val="22"/>
        </w:rPr>
        <w:t>y</w:t>
      </w:r>
      <w:r w:rsidR="00FE659D" w:rsidRPr="00FE659D">
        <w:rPr>
          <w:i/>
          <w:iCs/>
          <w:sz w:val="22"/>
          <w:szCs w:val="22"/>
        </w:rPr>
        <w:t xml:space="preserve"> </w:t>
      </w:r>
      <w:r w:rsidR="00FB72F4">
        <w:rPr>
          <w:i/>
          <w:iCs/>
          <w:sz w:val="22"/>
          <w:szCs w:val="22"/>
        </w:rPr>
        <w:t xml:space="preserve">se také </w:t>
      </w:r>
      <w:r w:rsidR="00FE659D" w:rsidRPr="00FE659D">
        <w:rPr>
          <w:i/>
          <w:iCs/>
          <w:sz w:val="22"/>
          <w:szCs w:val="22"/>
        </w:rPr>
        <w:t xml:space="preserve">dvě „big-boxové“ transakce </w:t>
      </w:r>
      <w:r w:rsidR="00FE659D">
        <w:rPr>
          <w:i/>
          <w:iCs/>
          <w:sz w:val="22"/>
          <w:szCs w:val="22"/>
        </w:rPr>
        <w:t>na plochu</w:t>
      </w:r>
      <w:r w:rsidR="00FE659D" w:rsidRPr="00FE659D">
        <w:rPr>
          <w:i/>
          <w:iCs/>
          <w:sz w:val="22"/>
          <w:szCs w:val="22"/>
        </w:rPr>
        <w:t xml:space="preserve"> kol</w:t>
      </w:r>
      <w:r w:rsidR="00FE659D">
        <w:rPr>
          <w:i/>
          <w:iCs/>
          <w:sz w:val="22"/>
          <w:szCs w:val="22"/>
        </w:rPr>
        <w:t>em</w:t>
      </w:r>
      <w:r w:rsidR="00FE659D" w:rsidRPr="00FE659D">
        <w:rPr>
          <w:i/>
          <w:iCs/>
          <w:sz w:val="22"/>
          <w:szCs w:val="22"/>
        </w:rPr>
        <w:t xml:space="preserve"> 200 000 m</w:t>
      </w:r>
      <w:r w:rsidR="00FE659D" w:rsidRPr="00C36C83">
        <w:rPr>
          <w:i/>
          <w:iCs/>
          <w:sz w:val="22"/>
          <w:szCs w:val="22"/>
          <w:vertAlign w:val="superscript"/>
        </w:rPr>
        <w:t>2</w:t>
      </w:r>
      <w:r w:rsidR="00FE659D" w:rsidRPr="00FE659D">
        <w:rPr>
          <w:i/>
          <w:iCs/>
          <w:sz w:val="22"/>
          <w:szCs w:val="22"/>
        </w:rPr>
        <w:t>. Transakce t</w:t>
      </w:r>
      <w:r w:rsidR="00C27977">
        <w:rPr>
          <w:i/>
          <w:iCs/>
          <w:sz w:val="22"/>
          <w:szCs w:val="22"/>
        </w:rPr>
        <w:t xml:space="preserve">akové </w:t>
      </w:r>
      <w:r w:rsidR="00FE659D" w:rsidRPr="00FE659D">
        <w:rPr>
          <w:i/>
          <w:iCs/>
          <w:sz w:val="22"/>
          <w:szCs w:val="22"/>
        </w:rPr>
        <w:t xml:space="preserve">velikosti jsou </w:t>
      </w:r>
      <w:r w:rsidR="00C27977">
        <w:rPr>
          <w:i/>
          <w:iCs/>
          <w:sz w:val="22"/>
          <w:szCs w:val="22"/>
        </w:rPr>
        <w:t>na českém trhu</w:t>
      </w:r>
      <w:r w:rsidR="00FE659D" w:rsidRPr="00FE659D">
        <w:rPr>
          <w:i/>
          <w:iCs/>
          <w:sz w:val="22"/>
          <w:szCs w:val="22"/>
        </w:rPr>
        <w:t xml:space="preserve"> </w:t>
      </w:r>
      <w:r w:rsidR="00FE659D">
        <w:rPr>
          <w:i/>
          <w:iCs/>
          <w:sz w:val="22"/>
          <w:szCs w:val="22"/>
        </w:rPr>
        <w:t xml:space="preserve">opravdu </w:t>
      </w:r>
      <w:r w:rsidR="00FE659D" w:rsidRPr="00FE659D">
        <w:rPr>
          <w:i/>
          <w:iCs/>
          <w:sz w:val="22"/>
          <w:szCs w:val="22"/>
        </w:rPr>
        <w:t xml:space="preserve">unikátní a my jsme rádi, že jsme </w:t>
      </w:r>
      <w:r w:rsidR="00FE659D">
        <w:rPr>
          <w:i/>
          <w:iCs/>
          <w:sz w:val="22"/>
          <w:szCs w:val="22"/>
        </w:rPr>
        <w:t xml:space="preserve">se </w:t>
      </w:r>
      <w:r w:rsidR="00FE659D" w:rsidRPr="00FE659D">
        <w:rPr>
          <w:i/>
          <w:iCs/>
          <w:sz w:val="22"/>
          <w:szCs w:val="22"/>
        </w:rPr>
        <w:t xml:space="preserve">na obou </w:t>
      </w:r>
      <w:r w:rsidR="00FE659D">
        <w:rPr>
          <w:i/>
          <w:iCs/>
          <w:sz w:val="22"/>
          <w:szCs w:val="22"/>
        </w:rPr>
        <w:t>mohli podílet</w:t>
      </w:r>
      <w:bookmarkEnd w:id="1"/>
      <w:r w:rsidR="007B1E5B" w:rsidRPr="006872E0">
        <w:rPr>
          <w:i/>
          <w:iCs/>
          <w:sz w:val="22"/>
          <w:szCs w:val="22"/>
        </w:rPr>
        <w:t>,</w:t>
      </w:r>
      <w:r w:rsidRPr="006872E0">
        <w:rPr>
          <w:i/>
          <w:iCs/>
          <w:sz w:val="22"/>
          <w:szCs w:val="22"/>
        </w:rPr>
        <w:t>“</w:t>
      </w:r>
      <w:r>
        <w:rPr>
          <w:sz w:val="22"/>
          <w:szCs w:val="22"/>
        </w:rPr>
        <w:t xml:space="preserve"> říká </w:t>
      </w:r>
      <w:proofErr w:type="spellStart"/>
      <w:r w:rsidRPr="006872E0">
        <w:rPr>
          <w:b/>
          <w:bCs/>
          <w:sz w:val="22"/>
          <w:szCs w:val="22"/>
        </w:rPr>
        <w:t>Hřivnacký</w:t>
      </w:r>
      <w:proofErr w:type="spellEnd"/>
      <w:r>
        <w:rPr>
          <w:sz w:val="22"/>
          <w:szCs w:val="22"/>
        </w:rPr>
        <w:t xml:space="preserve"> a </w:t>
      </w:r>
      <w:r w:rsidR="00912166">
        <w:rPr>
          <w:sz w:val="22"/>
          <w:szCs w:val="22"/>
        </w:rPr>
        <w:t>uzavírá</w:t>
      </w:r>
      <w:r>
        <w:rPr>
          <w:sz w:val="22"/>
          <w:szCs w:val="22"/>
        </w:rPr>
        <w:t xml:space="preserve">: </w:t>
      </w:r>
      <w:r w:rsidRPr="003C0CC7">
        <w:rPr>
          <w:i/>
          <w:iCs/>
          <w:sz w:val="22"/>
          <w:szCs w:val="22"/>
        </w:rPr>
        <w:t>„</w:t>
      </w:r>
      <w:r w:rsidR="007B1E5B" w:rsidRPr="003C0CC7">
        <w:rPr>
          <w:i/>
          <w:iCs/>
          <w:sz w:val="22"/>
          <w:szCs w:val="22"/>
        </w:rPr>
        <w:t xml:space="preserve">Po </w:t>
      </w:r>
      <w:r w:rsidR="003C0CC7" w:rsidRPr="003C0CC7">
        <w:rPr>
          <w:i/>
          <w:iCs/>
          <w:sz w:val="22"/>
          <w:szCs w:val="22"/>
        </w:rPr>
        <w:t xml:space="preserve">tomto mimořádném období </w:t>
      </w:r>
      <w:r w:rsidR="007B1E5B" w:rsidRPr="003C0CC7">
        <w:rPr>
          <w:i/>
          <w:iCs/>
          <w:sz w:val="22"/>
          <w:szCs w:val="22"/>
        </w:rPr>
        <w:t>se trh</w:t>
      </w:r>
      <w:r w:rsidR="003C0CC7" w:rsidRPr="003C0CC7">
        <w:rPr>
          <w:i/>
          <w:iCs/>
          <w:sz w:val="22"/>
          <w:szCs w:val="22"/>
        </w:rPr>
        <w:t xml:space="preserve"> postupně</w:t>
      </w:r>
      <w:r w:rsidR="007B1E5B" w:rsidRPr="003C0CC7">
        <w:rPr>
          <w:i/>
          <w:iCs/>
          <w:sz w:val="22"/>
          <w:szCs w:val="22"/>
        </w:rPr>
        <w:t xml:space="preserve"> </w:t>
      </w:r>
      <w:r w:rsidR="003C0CC7" w:rsidRPr="003C0CC7">
        <w:rPr>
          <w:i/>
          <w:iCs/>
          <w:sz w:val="22"/>
          <w:szCs w:val="22"/>
        </w:rPr>
        <w:t>vrací k normálu</w:t>
      </w:r>
      <w:r w:rsidR="007B1E5B" w:rsidRPr="003C0CC7">
        <w:rPr>
          <w:i/>
          <w:iCs/>
          <w:sz w:val="22"/>
          <w:szCs w:val="22"/>
        </w:rPr>
        <w:t xml:space="preserve"> na předcovidové hodnoty. </w:t>
      </w:r>
      <w:r w:rsidR="003C0CC7" w:rsidRPr="003C0CC7">
        <w:rPr>
          <w:i/>
          <w:iCs/>
          <w:sz w:val="22"/>
          <w:szCs w:val="22"/>
        </w:rPr>
        <w:t>Oproti rekordním letům p</w:t>
      </w:r>
      <w:r w:rsidR="007B1E5B" w:rsidRPr="003C0CC7">
        <w:rPr>
          <w:i/>
          <w:iCs/>
          <w:sz w:val="22"/>
          <w:szCs w:val="22"/>
        </w:rPr>
        <w:t xml:space="preserve">ozorujeme sníženou poptávku, mírný nárůst </w:t>
      </w:r>
      <w:r w:rsidR="003C0CC7" w:rsidRPr="003C0CC7">
        <w:rPr>
          <w:i/>
          <w:iCs/>
          <w:sz w:val="22"/>
          <w:szCs w:val="22"/>
        </w:rPr>
        <w:t>neobsazenosti</w:t>
      </w:r>
      <w:r w:rsidR="007B1E5B" w:rsidRPr="003C0CC7">
        <w:rPr>
          <w:i/>
          <w:iCs/>
          <w:sz w:val="22"/>
          <w:szCs w:val="22"/>
        </w:rPr>
        <w:t xml:space="preserve"> a s tím spojený pokles nájmů</w:t>
      </w:r>
      <w:r w:rsidR="003C0CC7" w:rsidRPr="003C0CC7">
        <w:rPr>
          <w:i/>
          <w:iCs/>
          <w:sz w:val="22"/>
          <w:szCs w:val="22"/>
        </w:rPr>
        <w:t xml:space="preserve"> a </w:t>
      </w:r>
      <w:r w:rsidR="007B1E5B" w:rsidRPr="003C0CC7">
        <w:rPr>
          <w:i/>
          <w:iCs/>
          <w:sz w:val="22"/>
          <w:szCs w:val="22"/>
        </w:rPr>
        <w:t>navýšení incentiv</w:t>
      </w:r>
      <w:r w:rsidR="003C0CC7" w:rsidRPr="003C0CC7">
        <w:rPr>
          <w:i/>
          <w:iCs/>
          <w:sz w:val="22"/>
          <w:szCs w:val="22"/>
        </w:rPr>
        <w:t>.</w:t>
      </w:r>
      <w:r w:rsidR="00912166">
        <w:rPr>
          <w:i/>
          <w:iCs/>
          <w:sz w:val="22"/>
          <w:szCs w:val="22"/>
        </w:rPr>
        <w:t xml:space="preserve"> T</w:t>
      </w:r>
      <w:r w:rsidR="00912166" w:rsidRPr="00912166">
        <w:rPr>
          <w:i/>
          <w:iCs/>
          <w:sz w:val="22"/>
          <w:szCs w:val="22"/>
        </w:rPr>
        <w:t>rhu začíná dominovat poptávka z oblasti výrobních společností, který by ve finále mohl podpořit i růst logistiky.</w:t>
      </w:r>
      <w:r w:rsidR="003C0CC7" w:rsidRPr="003C0CC7">
        <w:rPr>
          <w:i/>
          <w:iCs/>
          <w:sz w:val="22"/>
          <w:szCs w:val="22"/>
        </w:rPr>
        <w:t>“</w:t>
      </w:r>
    </w:p>
    <w:p w14:paraId="215D1A14" w14:textId="77777777" w:rsidR="000F038E" w:rsidRDefault="000F038E" w:rsidP="007B1E5B">
      <w:pPr>
        <w:pStyle w:val="BodyCopy"/>
        <w:rPr>
          <w:i/>
          <w:iCs/>
          <w:sz w:val="22"/>
          <w:szCs w:val="22"/>
        </w:rPr>
      </w:pPr>
    </w:p>
    <w:p w14:paraId="631923D4" w14:textId="2DF991CF" w:rsidR="000F038E" w:rsidRPr="00002F8F" w:rsidRDefault="000F038E" w:rsidP="001E01E3">
      <w:pPr>
        <w:pStyle w:val="BodyCop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EE" w:themeFill="background2" w:themeFillTint="33"/>
        <w:spacing w:before="80"/>
        <w:rPr>
          <w:sz w:val="22"/>
          <w:szCs w:val="22"/>
        </w:rPr>
      </w:pPr>
      <w:r w:rsidRPr="005B18C9">
        <w:rPr>
          <w:b/>
          <w:bCs/>
          <w:sz w:val="22"/>
          <w:szCs w:val="22"/>
        </w:rPr>
        <w:t xml:space="preserve">CBRE </w:t>
      </w:r>
      <w:r w:rsidR="00333916">
        <w:rPr>
          <w:b/>
          <w:bCs/>
          <w:sz w:val="22"/>
          <w:szCs w:val="22"/>
        </w:rPr>
        <w:t>přispěla k</w:t>
      </w:r>
      <w:r>
        <w:rPr>
          <w:b/>
          <w:bCs/>
          <w:sz w:val="22"/>
          <w:szCs w:val="22"/>
        </w:rPr>
        <w:t xml:space="preserve"> rozvoji </w:t>
      </w:r>
      <w:r w:rsidR="00333916">
        <w:rPr>
          <w:b/>
          <w:bCs/>
          <w:sz w:val="22"/>
          <w:szCs w:val="22"/>
        </w:rPr>
        <w:t xml:space="preserve">významných </w:t>
      </w:r>
      <w:r>
        <w:rPr>
          <w:b/>
          <w:bCs/>
          <w:sz w:val="22"/>
          <w:szCs w:val="22"/>
        </w:rPr>
        <w:t xml:space="preserve">průmyslových a logistických zón v </w:t>
      </w:r>
      <w:r w:rsidR="005E7039">
        <w:rPr>
          <w:b/>
          <w:bCs/>
          <w:sz w:val="22"/>
          <w:szCs w:val="22"/>
        </w:rPr>
        <w:t>ČR</w:t>
      </w:r>
      <w:r>
        <w:rPr>
          <w:sz w:val="22"/>
          <w:szCs w:val="22"/>
        </w:rPr>
        <w:br/>
        <w:t>Stála po boku developerů při v</w:t>
      </w:r>
      <w:r w:rsidR="00746BFC">
        <w:rPr>
          <w:sz w:val="22"/>
          <w:szCs w:val="22"/>
        </w:rPr>
        <w:t>z</w:t>
      </w:r>
      <w:r>
        <w:rPr>
          <w:sz w:val="22"/>
          <w:szCs w:val="22"/>
        </w:rPr>
        <w:t xml:space="preserve">niku řady významných industriálních a logistických zón napříč republikou, především v okolí Prahy, Brna, Ostravy a Plzně. Nájemce pomáhala zprostředkovat </w:t>
      </w:r>
      <w:r w:rsidR="00333916">
        <w:rPr>
          <w:sz w:val="22"/>
          <w:szCs w:val="22"/>
        </w:rPr>
        <w:t>klíčovým</w:t>
      </w:r>
      <w:r>
        <w:rPr>
          <w:sz w:val="22"/>
          <w:szCs w:val="22"/>
        </w:rPr>
        <w:t xml:space="preserve"> hráčům na</w:t>
      </w:r>
      <w:r w:rsidR="0050747F">
        <w:rPr>
          <w:sz w:val="22"/>
          <w:szCs w:val="22"/>
        </w:rPr>
        <w:t> </w:t>
      </w:r>
      <w:r>
        <w:rPr>
          <w:sz w:val="22"/>
          <w:szCs w:val="22"/>
        </w:rPr>
        <w:t>tuzemském trhu, ať už jde o CTP, Panattoni nebo třeba P3.</w:t>
      </w:r>
    </w:p>
    <w:p w14:paraId="1C181638" w14:textId="77777777" w:rsidR="000F038E" w:rsidRDefault="000F038E" w:rsidP="007B1E5B">
      <w:pPr>
        <w:pStyle w:val="BodyCopy"/>
        <w:rPr>
          <w:sz w:val="22"/>
          <w:szCs w:val="22"/>
        </w:rPr>
      </w:pPr>
    </w:p>
    <w:p w14:paraId="7C669C45" w14:textId="5388EF23" w:rsidR="00BD49F1" w:rsidRDefault="008B415C" w:rsidP="00925FFF">
      <w:pPr>
        <w:pStyle w:val="BodyCopy"/>
        <w:rPr>
          <w:b/>
          <w:bCs/>
        </w:rPr>
      </w:pP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="00EC0885" w:rsidRPr="00EC0885">
        <w:rPr>
          <w:b/>
          <w:bCs/>
          <w:u w:val="single"/>
        </w:rPr>
        <w:lastRenderedPageBreak/>
        <w:t>Doplňující tabulky a grafy</w:t>
      </w:r>
      <w:r w:rsidR="00EC0885">
        <w:rPr>
          <w:b/>
          <w:bCs/>
        </w:rPr>
        <w:br/>
      </w:r>
    </w:p>
    <w:p w14:paraId="3A50317D" w14:textId="29617ECD" w:rsidR="00925FFF" w:rsidRPr="00276128" w:rsidRDefault="00925FFF" w:rsidP="00925FFF">
      <w:pPr>
        <w:pStyle w:val="BodyCopy"/>
        <w:rPr>
          <w:b/>
          <w:bCs/>
        </w:rPr>
      </w:pPr>
      <w:r w:rsidRPr="00276128">
        <w:rPr>
          <w:b/>
          <w:bCs/>
        </w:rPr>
        <w:t xml:space="preserve">Přehled největších </w:t>
      </w:r>
      <w:r w:rsidR="00002F8F">
        <w:rPr>
          <w:b/>
          <w:bCs/>
        </w:rPr>
        <w:t>realitních</w:t>
      </w:r>
      <w:r w:rsidR="00FF17E1">
        <w:rPr>
          <w:b/>
          <w:bCs/>
        </w:rPr>
        <w:t xml:space="preserve"> </w:t>
      </w:r>
      <w:r w:rsidRPr="00276128">
        <w:rPr>
          <w:b/>
          <w:bCs/>
        </w:rPr>
        <w:t>transakcí, na kterých se CBRE za posledních 25 let podílela</w:t>
      </w:r>
    </w:p>
    <w:p w14:paraId="284A028A" w14:textId="77777777" w:rsidR="00925FFF" w:rsidRDefault="00925FFF" w:rsidP="00ED4848">
      <w:pPr>
        <w:pStyle w:val="BodyCopy"/>
        <w:rPr>
          <w:sz w:val="22"/>
          <w:szCs w:val="2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340"/>
        <w:gridCol w:w="1984"/>
        <w:gridCol w:w="2127"/>
        <w:gridCol w:w="2835"/>
      </w:tblGrid>
      <w:tr w:rsidR="00813331" w:rsidRPr="00B703EF" w14:paraId="6C08A536" w14:textId="2E96136C" w:rsidTr="00952169">
        <w:trPr>
          <w:trHeight w:val="454"/>
        </w:trPr>
        <w:tc>
          <w:tcPr>
            <w:tcW w:w="77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000000" w:fill="80BBAD"/>
            <w:vAlign w:val="center"/>
            <w:hideMark/>
          </w:tcPr>
          <w:p w14:paraId="770A043B" w14:textId="19D167D2" w:rsidR="00813331" w:rsidRPr="004B2A4A" w:rsidRDefault="00813331" w:rsidP="00813331">
            <w:pPr>
              <w:rPr>
                <w:b/>
                <w:bCs/>
                <w:color w:val="FFFFFF" w:themeColor="background1"/>
                <w:sz w:val="22"/>
                <w:szCs w:val="22"/>
                <w:lang w:eastAsia="cs-CZ"/>
              </w:rPr>
            </w:pPr>
            <w:r w:rsidRPr="004B2A4A">
              <w:rPr>
                <w:b/>
                <w:bCs/>
                <w:color w:val="FFFFFF" w:themeColor="background1"/>
                <w:sz w:val="22"/>
                <w:szCs w:val="22"/>
              </w:rPr>
              <w:t>Rok</w:t>
            </w:r>
          </w:p>
        </w:tc>
        <w:tc>
          <w:tcPr>
            <w:tcW w:w="2340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000000" w:fill="80BBAD"/>
            <w:vAlign w:val="center"/>
            <w:hideMark/>
          </w:tcPr>
          <w:p w14:paraId="565136BB" w14:textId="42CA0F52" w:rsidR="00813331" w:rsidRPr="004B2A4A" w:rsidRDefault="00813331" w:rsidP="00813331">
            <w:pPr>
              <w:rPr>
                <w:b/>
                <w:bCs/>
                <w:color w:val="FFFFFF" w:themeColor="background1"/>
                <w:sz w:val="22"/>
                <w:szCs w:val="22"/>
                <w:lang w:eastAsia="cs-CZ"/>
              </w:rPr>
            </w:pPr>
            <w:r w:rsidRPr="004B2A4A">
              <w:rPr>
                <w:b/>
                <w:bCs/>
                <w:color w:val="FFFFFF" w:themeColor="background1"/>
                <w:sz w:val="22"/>
                <w:szCs w:val="22"/>
              </w:rPr>
              <w:t>Nemovitost</w:t>
            </w:r>
          </w:p>
        </w:tc>
        <w:tc>
          <w:tcPr>
            <w:tcW w:w="1984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000000" w:fill="80BBAD"/>
            <w:vAlign w:val="center"/>
            <w:hideMark/>
          </w:tcPr>
          <w:p w14:paraId="04AD81F9" w14:textId="7BE9BEE6" w:rsidR="00813331" w:rsidRPr="004B2A4A" w:rsidRDefault="00813331" w:rsidP="00813331">
            <w:pPr>
              <w:rPr>
                <w:b/>
                <w:bCs/>
                <w:color w:val="FFFFFF" w:themeColor="background1"/>
                <w:sz w:val="22"/>
                <w:szCs w:val="22"/>
                <w:lang w:eastAsia="cs-CZ"/>
              </w:rPr>
            </w:pPr>
            <w:r w:rsidRPr="004B2A4A">
              <w:rPr>
                <w:b/>
                <w:bCs/>
                <w:color w:val="FFFFFF" w:themeColor="background1"/>
                <w:sz w:val="22"/>
                <w:szCs w:val="22"/>
              </w:rPr>
              <w:t>Sektor</w:t>
            </w:r>
          </w:p>
        </w:tc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000000" w:fill="80BBAD"/>
            <w:vAlign w:val="center"/>
          </w:tcPr>
          <w:p w14:paraId="0F5FDF5D" w14:textId="514D86BF" w:rsidR="00813331" w:rsidRPr="004B2A4A" w:rsidRDefault="00813331" w:rsidP="00813331">
            <w:pPr>
              <w:rPr>
                <w:b/>
                <w:bCs/>
                <w:color w:val="FFFFFF" w:themeColor="background1"/>
                <w:sz w:val="22"/>
                <w:szCs w:val="22"/>
                <w:lang w:eastAsia="cs-CZ"/>
              </w:rPr>
            </w:pPr>
            <w:r w:rsidRPr="004B2A4A">
              <w:rPr>
                <w:b/>
                <w:bCs/>
                <w:color w:val="FFFFFF" w:themeColor="background1"/>
                <w:sz w:val="22"/>
                <w:szCs w:val="22"/>
              </w:rPr>
              <w:t>Kupující</w:t>
            </w:r>
          </w:p>
        </w:tc>
        <w:tc>
          <w:tcPr>
            <w:tcW w:w="2835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000000" w:fill="80BBAD"/>
            <w:vAlign w:val="center"/>
          </w:tcPr>
          <w:p w14:paraId="4E73D433" w14:textId="26373DB5" w:rsidR="00813331" w:rsidRPr="004B2A4A" w:rsidRDefault="00813331" w:rsidP="00813331">
            <w:pPr>
              <w:rPr>
                <w:b/>
                <w:bCs/>
                <w:color w:val="FFFFFF" w:themeColor="background1"/>
                <w:sz w:val="22"/>
                <w:szCs w:val="22"/>
                <w:lang w:eastAsia="cs-CZ"/>
              </w:rPr>
            </w:pPr>
            <w:r w:rsidRPr="004B2A4A">
              <w:rPr>
                <w:b/>
                <w:bCs/>
                <w:color w:val="FFFFFF" w:themeColor="background1"/>
                <w:sz w:val="22"/>
                <w:szCs w:val="22"/>
              </w:rPr>
              <w:t>Prodávající</w:t>
            </w:r>
          </w:p>
        </w:tc>
      </w:tr>
      <w:tr w:rsidR="00813331" w:rsidRPr="00B703EF" w14:paraId="4A696C57" w14:textId="4CA08AAF" w:rsidTr="00952169">
        <w:trPr>
          <w:trHeight w:val="418"/>
        </w:trPr>
        <w:tc>
          <w:tcPr>
            <w:tcW w:w="77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22B6EBD3" w14:textId="2FE2429D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2011</w:t>
            </w:r>
          </w:p>
        </w:tc>
        <w:tc>
          <w:tcPr>
            <w:tcW w:w="2340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5E81C402" w14:textId="3CE00DC0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Palác Flora</w:t>
            </w:r>
          </w:p>
        </w:tc>
        <w:tc>
          <w:tcPr>
            <w:tcW w:w="1984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33497012" w14:textId="0C882B40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Retail</w:t>
            </w:r>
          </w:p>
        </w:tc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235D393C" w14:textId="35DD8B1F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Atrium European Real Estate</w:t>
            </w:r>
          </w:p>
        </w:tc>
        <w:tc>
          <w:tcPr>
            <w:tcW w:w="2835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vAlign w:val="center"/>
          </w:tcPr>
          <w:p w14:paraId="45F53377" w14:textId="0F2EF483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AFI Europe</w:t>
            </w:r>
          </w:p>
        </w:tc>
      </w:tr>
      <w:tr w:rsidR="00813331" w:rsidRPr="00B703EF" w14:paraId="070842F0" w14:textId="6AC4388A" w:rsidTr="00952169">
        <w:trPr>
          <w:trHeight w:val="290"/>
        </w:trPr>
        <w:tc>
          <w:tcPr>
            <w:tcW w:w="77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  <w:hideMark/>
          </w:tcPr>
          <w:p w14:paraId="6F25B197" w14:textId="67844F48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  <w:hideMark/>
          </w:tcPr>
          <w:p w14:paraId="141AE1EC" w14:textId="5DC288B1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VGP Park Horní Počernice</w:t>
            </w:r>
          </w:p>
        </w:tc>
        <w:tc>
          <w:tcPr>
            <w:tcW w:w="1984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  <w:hideMark/>
          </w:tcPr>
          <w:p w14:paraId="6659DC25" w14:textId="0700E505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Průmysl a logistika</w:t>
            </w:r>
          </w:p>
        </w:tc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  <w:hideMark/>
          </w:tcPr>
          <w:p w14:paraId="205F673D" w14:textId="6F959CA7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PointPark Properties</w:t>
            </w:r>
          </w:p>
        </w:tc>
        <w:tc>
          <w:tcPr>
            <w:tcW w:w="2835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vAlign w:val="center"/>
          </w:tcPr>
          <w:p w14:paraId="04B9FDF2" w14:textId="6AAB8DCE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 xml:space="preserve">Tristan </w:t>
            </w:r>
            <w:proofErr w:type="spellStart"/>
            <w:r w:rsidRPr="004B2A4A">
              <w:rPr>
                <w:color w:val="425254" w:themeColor="text1"/>
                <w:sz w:val="22"/>
                <w:szCs w:val="22"/>
              </w:rPr>
              <w:t>Capital</w:t>
            </w:r>
            <w:proofErr w:type="spellEnd"/>
            <w:r w:rsidRPr="004B2A4A">
              <w:rPr>
                <w:color w:val="425254" w:themeColor="text1"/>
                <w:sz w:val="22"/>
                <w:szCs w:val="22"/>
              </w:rPr>
              <w:t xml:space="preserve"> </w:t>
            </w:r>
            <w:proofErr w:type="spellStart"/>
            <w:r w:rsidRPr="004B2A4A">
              <w:rPr>
                <w:color w:val="425254" w:themeColor="text1"/>
                <w:sz w:val="22"/>
                <w:szCs w:val="22"/>
              </w:rPr>
              <w:t>Partners</w:t>
            </w:r>
            <w:proofErr w:type="spellEnd"/>
            <w:r w:rsidRPr="004B2A4A">
              <w:rPr>
                <w:color w:val="425254" w:themeColor="text1"/>
                <w:sz w:val="22"/>
                <w:szCs w:val="22"/>
              </w:rPr>
              <w:t>/VGP</w:t>
            </w:r>
          </w:p>
        </w:tc>
      </w:tr>
      <w:tr w:rsidR="00813331" w:rsidRPr="00B703EF" w14:paraId="40546588" w14:textId="6E4FF179" w:rsidTr="00952169">
        <w:trPr>
          <w:trHeight w:val="458"/>
        </w:trPr>
        <w:tc>
          <w:tcPr>
            <w:tcW w:w="77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62FCB85E" w14:textId="5990F23D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2015</w:t>
            </w:r>
          </w:p>
        </w:tc>
        <w:tc>
          <w:tcPr>
            <w:tcW w:w="2340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1439DD6C" w14:textId="1AFC453E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Palladium</w:t>
            </w:r>
          </w:p>
        </w:tc>
        <w:tc>
          <w:tcPr>
            <w:tcW w:w="1984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0AF02199" w14:textId="1FD843A4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Retail / kanceláře</w:t>
            </w:r>
          </w:p>
        </w:tc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3945A840" w14:textId="28250839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Union Investment</w:t>
            </w:r>
          </w:p>
        </w:tc>
        <w:tc>
          <w:tcPr>
            <w:tcW w:w="2835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vAlign w:val="center"/>
          </w:tcPr>
          <w:p w14:paraId="0BEF9084" w14:textId="2FB948A7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Hannover Leasing</w:t>
            </w:r>
          </w:p>
        </w:tc>
      </w:tr>
      <w:tr w:rsidR="00813331" w:rsidRPr="00B703EF" w14:paraId="4A95F8DD" w14:textId="0087DE9D" w:rsidTr="00952169">
        <w:trPr>
          <w:trHeight w:val="409"/>
        </w:trPr>
        <w:tc>
          <w:tcPr>
            <w:tcW w:w="77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  <w:hideMark/>
          </w:tcPr>
          <w:p w14:paraId="00C7FAC9" w14:textId="0DFB807C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2016</w:t>
            </w:r>
          </w:p>
        </w:tc>
        <w:tc>
          <w:tcPr>
            <w:tcW w:w="2340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  <w:hideMark/>
          </w:tcPr>
          <w:p w14:paraId="12ECA579" w14:textId="433F41AD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P3 portfolio</w:t>
            </w:r>
          </w:p>
        </w:tc>
        <w:tc>
          <w:tcPr>
            <w:tcW w:w="1984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  <w:hideMark/>
          </w:tcPr>
          <w:p w14:paraId="1B94CC22" w14:textId="3AEE8A17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Průmysl a logistika</w:t>
            </w:r>
          </w:p>
        </w:tc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  <w:hideMark/>
          </w:tcPr>
          <w:p w14:paraId="3667E3AB" w14:textId="30635DA2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GIC</w:t>
            </w:r>
          </w:p>
        </w:tc>
        <w:tc>
          <w:tcPr>
            <w:tcW w:w="2835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vAlign w:val="center"/>
          </w:tcPr>
          <w:p w14:paraId="7773EB86" w14:textId="6F0BE066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P3</w:t>
            </w:r>
          </w:p>
        </w:tc>
      </w:tr>
      <w:tr w:rsidR="00813331" w:rsidRPr="00B703EF" w14:paraId="0C1018F4" w14:textId="351F6041" w:rsidTr="00952169">
        <w:trPr>
          <w:trHeight w:val="415"/>
        </w:trPr>
        <w:tc>
          <w:tcPr>
            <w:tcW w:w="77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7679216E" w14:textId="37AA6B8E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2017</w:t>
            </w:r>
          </w:p>
        </w:tc>
        <w:tc>
          <w:tcPr>
            <w:tcW w:w="2340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20046F6D" w14:textId="1301D2BE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 xml:space="preserve">CBRE GI </w:t>
            </w:r>
            <w:r w:rsidR="00952169">
              <w:rPr>
                <w:color w:val="425254" w:themeColor="text1"/>
                <w:sz w:val="22"/>
                <w:szCs w:val="22"/>
              </w:rPr>
              <w:t>(</w:t>
            </w:r>
            <w:r w:rsidRPr="004B2A4A">
              <w:rPr>
                <w:color w:val="425254" w:themeColor="text1"/>
                <w:sz w:val="22"/>
                <w:szCs w:val="22"/>
              </w:rPr>
              <w:t>retailové portfolio</w:t>
            </w:r>
            <w:r w:rsidR="00952169">
              <w:rPr>
                <w:color w:val="425254" w:themeColor="text1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653362D1" w14:textId="1606461E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Retail</w:t>
            </w:r>
          </w:p>
        </w:tc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7F62CAEE" w14:textId="2869461F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CPI</w:t>
            </w:r>
          </w:p>
        </w:tc>
        <w:tc>
          <w:tcPr>
            <w:tcW w:w="2835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vAlign w:val="center"/>
          </w:tcPr>
          <w:p w14:paraId="0FBC6446" w14:textId="69B3D6FF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 xml:space="preserve">CBRE </w:t>
            </w:r>
            <w:proofErr w:type="spellStart"/>
            <w:r w:rsidRPr="004B2A4A">
              <w:rPr>
                <w:color w:val="425254" w:themeColor="text1"/>
                <w:sz w:val="22"/>
                <w:szCs w:val="22"/>
              </w:rPr>
              <w:t>Global</w:t>
            </w:r>
            <w:proofErr w:type="spellEnd"/>
            <w:r w:rsidRPr="004B2A4A">
              <w:rPr>
                <w:color w:val="425254" w:themeColor="text1"/>
                <w:sz w:val="22"/>
                <w:szCs w:val="22"/>
              </w:rPr>
              <w:t xml:space="preserve"> </w:t>
            </w:r>
            <w:proofErr w:type="spellStart"/>
            <w:r w:rsidRPr="004B2A4A">
              <w:rPr>
                <w:color w:val="425254" w:themeColor="text1"/>
                <w:sz w:val="22"/>
                <w:szCs w:val="22"/>
              </w:rPr>
              <w:t>Investors</w:t>
            </w:r>
            <w:proofErr w:type="spellEnd"/>
          </w:p>
        </w:tc>
      </w:tr>
      <w:tr w:rsidR="00813331" w:rsidRPr="00B703EF" w14:paraId="7F343A69" w14:textId="495F8FEB" w:rsidTr="00952169">
        <w:trPr>
          <w:trHeight w:val="290"/>
        </w:trPr>
        <w:tc>
          <w:tcPr>
            <w:tcW w:w="77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  <w:hideMark/>
          </w:tcPr>
          <w:p w14:paraId="609A124B" w14:textId="7F67E28A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2017</w:t>
            </w:r>
          </w:p>
        </w:tc>
        <w:tc>
          <w:tcPr>
            <w:tcW w:w="2340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  <w:hideMark/>
          </w:tcPr>
          <w:p w14:paraId="11BCB64B" w14:textId="4D862925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OC Letňany</w:t>
            </w:r>
          </w:p>
        </w:tc>
        <w:tc>
          <w:tcPr>
            <w:tcW w:w="1984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  <w:hideMark/>
          </w:tcPr>
          <w:p w14:paraId="0FAA1611" w14:textId="2EE94C1D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Retail</w:t>
            </w:r>
          </w:p>
        </w:tc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  <w:hideMark/>
          </w:tcPr>
          <w:p w14:paraId="0B1D5435" w14:textId="3FDEDAC9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CBRE Investment Management</w:t>
            </w:r>
          </w:p>
        </w:tc>
        <w:tc>
          <w:tcPr>
            <w:tcW w:w="2835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vAlign w:val="center"/>
          </w:tcPr>
          <w:p w14:paraId="722116F0" w14:textId="637C2D08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Tesco Stores</w:t>
            </w:r>
          </w:p>
        </w:tc>
      </w:tr>
      <w:tr w:rsidR="00813331" w:rsidRPr="00B703EF" w14:paraId="5D8D0C44" w14:textId="7A79FCF4" w:rsidTr="00952169">
        <w:trPr>
          <w:trHeight w:val="290"/>
        </w:trPr>
        <w:tc>
          <w:tcPr>
            <w:tcW w:w="77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11B1C116" w14:textId="62149E70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2018</w:t>
            </w:r>
          </w:p>
        </w:tc>
        <w:tc>
          <w:tcPr>
            <w:tcW w:w="2340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6B49350B" w14:textId="77AA3601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Forum Nová Karolina</w:t>
            </w:r>
          </w:p>
        </w:tc>
        <w:tc>
          <w:tcPr>
            <w:tcW w:w="1984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7284CED8" w14:textId="4B6BBC49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Retail</w:t>
            </w:r>
          </w:p>
        </w:tc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  <w:hideMark/>
          </w:tcPr>
          <w:p w14:paraId="6C002B61" w14:textId="7E93CACF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REICO</w:t>
            </w:r>
          </w:p>
        </w:tc>
        <w:tc>
          <w:tcPr>
            <w:tcW w:w="2835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vAlign w:val="center"/>
          </w:tcPr>
          <w:p w14:paraId="34EA21F0" w14:textId="06D85C2B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Healthcare of Ontario Pension Plan (HOOP)</w:t>
            </w:r>
          </w:p>
        </w:tc>
      </w:tr>
      <w:tr w:rsidR="00813331" w:rsidRPr="00B703EF" w14:paraId="59374B3F" w14:textId="1524D36D" w:rsidTr="00952169">
        <w:trPr>
          <w:trHeight w:val="290"/>
        </w:trPr>
        <w:tc>
          <w:tcPr>
            <w:tcW w:w="77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</w:tcPr>
          <w:p w14:paraId="00F9F42B" w14:textId="05AE9C05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2019</w:t>
            </w:r>
          </w:p>
        </w:tc>
        <w:tc>
          <w:tcPr>
            <w:tcW w:w="2340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</w:tcPr>
          <w:p w14:paraId="1018D431" w14:textId="320949A4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Waltrovka (budovy Aviatica, Mechanica I&amp;II, Walter a Dynamica)</w:t>
            </w:r>
          </w:p>
        </w:tc>
        <w:tc>
          <w:tcPr>
            <w:tcW w:w="1984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</w:tcPr>
          <w:p w14:paraId="2391029E" w14:textId="21B97D0B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Kanceláře</w:t>
            </w:r>
          </w:p>
        </w:tc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</w:tcPr>
          <w:p w14:paraId="0D1E29D3" w14:textId="43D2BB73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Hanwha Investment &amp; Securities (GLL Real Estate Partners)</w:t>
            </w:r>
          </w:p>
        </w:tc>
        <w:tc>
          <w:tcPr>
            <w:tcW w:w="2835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vAlign w:val="center"/>
          </w:tcPr>
          <w:p w14:paraId="40CFAAE7" w14:textId="066E1075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Penta Real Estate</w:t>
            </w:r>
          </w:p>
        </w:tc>
      </w:tr>
      <w:tr w:rsidR="00813331" w:rsidRPr="00B703EF" w14:paraId="0C4B8F0A" w14:textId="79DC437F" w:rsidTr="00952169">
        <w:trPr>
          <w:trHeight w:val="290"/>
        </w:trPr>
        <w:tc>
          <w:tcPr>
            <w:tcW w:w="77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</w:tcPr>
          <w:p w14:paraId="394E8BF0" w14:textId="32F62DA8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2021-2022</w:t>
            </w:r>
          </w:p>
        </w:tc>
        <w:tc>
          <w:tcPr>
            <w:tcW w:w="2340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</w:tcPr>
          <w:p w14:paraId="155B4278" w14:textId="6E0691FD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Ostrava Airport Multimodal Park &amp; Logistics Park Nošovice</w:t>
            </w:r>
          </w:p>
        </w:tc>
        <w:tc>
          <w:tcPr>
            <w:tcW w:w="1984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</w:tcPr>
          <w:p w14:paraId="6911A59F" w14:textId="75367414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Průmysl a logistika</w:t>
            </w:r>
          </w:p>
        </w:tc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center"/>
          </w:tcPr>
          <w:p w14:paraId="650BAF28" w14:textId="1364D000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EQT Exeter</w:t>
            </w:r>
          </w:p>
        </w:tc>
        <w:tc>
          <w:tcPr>
            <w:tcW w:w="2835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vAlign w:val="center"/>
          </w:tcPr>
          <w:p w14:paraId="12164857" w14:textId="1D8C58AF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Concens / J&amp;T</w:t>
            </w:r>
          </w:p>
        </w:tc>
      </w:tr>
      <w:tr w:rsidR="00813331" w:rsidRPr="00B703EF" w14:paraId="07C4B44A" w14:textId="7BE1E5FA" w:rsidTr="00952169">
        <w:trPr>
          <w:trHeight w:val="490"/>
        </w:trPr>
        <w:tc>
          <w:tcPr>
            <w:tcW w:w="77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</w:tcPr>
          <w:p w14:paraId="2FA94DF1" w14:textId="38A3A8B9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2024</w:t>
            </w:r>
          </w:p>
        </w:tc>
        <w:tc>
          <w:tcPr>
            <w:tcW w:w="2340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</w:tcPr>
          <w:p w14:paraId="0D1FF38B" w14:textId="1F0B90BA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Arkády Pankrác</w:t>
            </w:r>
          </w:p>
        </w:tc>
        <w:tc>
          <w:tcPr>
            <w:tcW w:w="1984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</w:tcPr>
          <w:p w14:paraId="1DCEC412" w14:textId="5BB0EA9C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Retail</w:t>
            </w:r>
          </w:p>
        </w:tc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center"/>
          </w:tcPr>
          <w:p w14:paraId="2044BAF3" w14:textId="0CE4CD58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Trigea</w:t>
            </w:r>
          </w:p>
        </w:tc>
        <w:tc>
          <w:tcPr>
            <w:tcW w:w="2835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vAlign w:val="center"/>
          </w:tcPr>
          <w:p w14:paraId="2440A6C0" w14:textId="40A67087" w:rsidR="00813331" w:rsidRPr="004B2A4A" w:rsidRDefault="00813331" w:rsidP="00813331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25254" w:themeColor="text1"/>
                <w:sz w:val="22"/>
                <w:szCs w:val="22"/>
              </w:rPr>
              <w:t>Atrium Real Estate</w:t>
            </w:r>
          </w:p>
        </w:tc>
      </w:tr>
    </w:tbl>
    <w:p w14:paraId="3ECDC4F7" w14:textId="77777777" w:rsidR="00813331" w:rsidRDefault="00813331" w:rsidP="00ED4848">
      <w:pPr>
        <w:pStyle w:val="BodyCopy"/>
        <w:rPr>
          <w:sz w:val="22"/>
          <w:szCs w:val="22"/>
        </w:rPr>
      </w:pPr>
    </w:p>
    <w:p w14:paraId="124C37F7" w14:textId="4373177F" w:rsidR="00FF17E1" w:rsidRPr="00276128" w:rsidRDefault="008B415C" w:rsidP="00FF17E1">
      <w:pPr>
        <w:pStyle w:val="BodyCopy"/>
        <w:rPr>
          <w:b/>
          <w:bCs/>
        </w:rPr>
      </w:pPr>
      <w:r w:rsidRPr="008B415C">
        <w:t>Zdroj: CBRE</w:t>
      </w:r>
      <w:r>
        <w:rPr>
          <w:b/>
          <w:bCs/>
        </w:rPr>
        <w:br/>
      </w:r>
      <w:r>
        <w:rPr>
          <w:b/>
          <w:bCs/>
        </w:rPr>
        <w:br/>
      </w:r>
      <w:r w:rsidR="00FF17E1" w:rsidRPr="00276128">
        <w:rPr>
          <w:b/>
          <w:bCs/>
        </w:rPr>
        <w:t xml:space="preserve">Přehled největších </w:t>
      </w:r>
      <w:r w:rsidR="00FF17E1">
        <w:rPr>
          <w:b/>
          <w:bCs/>
        </w:rPr>
        <w:t>kancelářských pronájmů</w:t>
      </w:r>
      <w:r w:rsidR="00FF17E1" w:rsidRPr="00276128">
        <w:rPr>
          <w:b/>
          <w:bCs/>
        </w:rPr>
        <w:t xml:space="preserve">, </w:t>
      </w:r>
      <w:r w:rsidR="00FF17E1">
        <w:rPr>
          <w:b/>
          <w:bCs/>
        </w:rPr>
        <w:t>které</w:t>
      </w:r>
      <w:r w:rsidR="00FF17E1" w:rsidRPr="00276128">
        <w:rPr>
          <w:b/>
          <w:bCs/>
        </w:rPr>
        <w:t xml:space="preserve"> CBRE za posledních 25 let </w:t>
      </w:r>
      <w:r w:rsidR="00FF17E1">
        <w:rPr>
          <w:b/>
          <w:bCs/>
        </w:rPr>
        <w:t>zprostředkovala</w:t>
      </w:r>
    </w:p>
    <w:p w14:paraId="4236F4EC" w14:textId="77777777" w:rsidR="00FF17E1" w:rsidRDefault="00FF17E1" w:rsidP="00ED4848">
      <w:pPr>
        <w:pStyle w:val="BodyCopy"/>
        <w:rPr>
          <w:sz w:val="22"/>
          <w:szCs w:val="22"/>
        </w:rPr>
      </w:pPr>
    </w:p>
    <w:tbl>
      <w:tblPr>
        <w:tblpPr w:leftFromText="180" w:rightFromText="180" w:vertAnchor="text" w:horzAnchor="margin" w:tblpY="96"/>
        <w:tblW w:w="5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2268"/>
      </w:tblGrid>
      <w:tr w:rsidR="00FF17E1" w:rsidRPr="00B703EF" w14:paraId="361EE1FB" w14:textId="77777777" w:rsidTr="00047C36">
        <w:trPr>
          <w:trHeight w:val="290"/>
        </w:trPr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000000" w:fill="80BBAD"/>
            <w:vAlign w:val="center"/>
            <w:hideMark/>
          </w:tcPr>
          <w:p w14:paraId="73819B2E" w14:textId="588E1883" w:rsidR="00FF17E1" w:rsidRPr="004B2A4A" w:rsidRDefault="006654EF" w:rsidP="005B18C9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4B2A4A">
              <w:rPr>
                <w:b/>
                <w:bCs/>
                <w:color w:val="FFFFFF"/>
                <w:sz w:val="22"/>
                <w:szCs w:val="22"/>
                <w:lang w:eastAsia="cs-CZ"/>
              </w:rPr>
              <w:t>Nemovitost</w:t>
            </w:r>
          </w:p>
        </w:tc>
        <w:tc>
          <w:tcPr>
            <w:tcW w:w="1276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000000" w:fill="80BBAD"/>
            <w:vAlign w:val="center"/>
            <w:hideMark/>
          </w:tcPr>
          <w:p w14:paraId="4E2B199D" w14:textId="77777777" w:rsidR="00FF17E1" w:rsidRPr="004B2A4A" w:rsidRDefault="00FF17E1" w:rsidP="005B18C9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4B2A4A">
              <w:rPr>
                <w:b/>
                <w:bCs/>
                <w:color w:val="FFFFFF"/>
                <w:sz w:val="22"/>
                <w:szCs w:val="22"/>
                <w:lang w:eastAsia="cs-CZ"/>
              </w:rPr>
              <w:t>Velikost pronájmu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000000" w:fill="80BBAD"/>
            <w:vAlign w:val="center"/>
            <w:hideMark/>
          </w:tcPr>
          <w:p w14:paraId="66827712" w14:textId="77777777" w:rsidR="00FF17E1" w:rsidRPr="004B2A4A" w:rsidRDefault="00FF17E1" w:rsidP="005B18C9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4B2A4A">
              <w:rPr>
                <w:b/>
                <w:bCs/>
                <w:color w:val="FFFFFF"/>
                <w:sz w:val="22"/>
                <w:szCs w:val="22"/>
                <w:lang w:eastAsia="cs-CZ"/>
              </w:rPr>
              <w:t>Nájemce</w:t>
            </w:r>
          </w:p>
        </w:tc>
      </w:tr>
      <w:tr w:rsidR="00002F8F" w:rsidRPr="00B703EF" w14:paraId="46744DD2" w14:textId="77777777" w:rsidTr="00047C36">
        <w:trPr>
          <w:trHeight w:val="290"/>
        </w:trPr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</w:tcPr>
          <w:p w14:paraId="5E974EF5" w14:textId="75696820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City West B2&amp;B3</w:t>
            </w:r>
          </w:p>
        </w:tc>
        <w:tc>
          <w:tcPr>
            <w:tcW w:w="1276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</w:tcPr>
          <w:p w14:paraId="6DBD06E9" w14:textId="1AB55F21" w:rsidR="00002F8F" w:rsidRPr="004B2A4A" w:rsidRDefault="00002F8F" w:rsidP="00002F8F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23</w:t>
            </w:r>
            <w:r w:rsidR="006654EF" w:rsidRPr="004B2A4A">
              <w:rPr>
                <w:color w:val="435254"/>
                <w:sz w:val="22"/>
                <w:szCs w:val="22"/>
                <w:lang w:eastAsia="cs-CZ"/>
              </w:rPr>
              <w:t> </w:t>
            </w:r>
            <w:r w:rsidRPr="004B2A4A">
              <w:rPr>
                <w:color w:val="435254"/>
                <w:sz w:val="22"/>
                <w:szCs w:val="22"/>
                <w:lang w:eastAsia="cs-CZ"/>
              </w:rPr>
              <w:t>500</w:t>
            </w:r>
            <w:r w:rsidR="006654EF" w:rsidRPr="004B2A4A">
              <w:rPr>
                <w:color w:val="435254"/>
                <w:sz w:val="22"/>
                <w:szCs w:val="22"/>
                <w:lang w:eastAsia="cs-CZ"/>
              </w:rPr>
              <w:t xml:space="preserve"> m</w:t>
            </w:r>
            <w:r w:rsidR="006654EF" w:rsidRPr="004B2A4A">
              <w:rPr>
                <w:color w:val="435254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</w:tcPr>
          <w:p w14:paraId="07BF06CB" w14:textId="2C89D233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Siemens</w:t>
            </w:r>
          </w:p>
        </w:tc>
      </w:tr>
      <w:tr w:rsidR="00002F8F" w:rsidRPr="00B703EF" w14:paraId="518009F2" w14:textId="77777777" w:rsidTr="00047C36">
        <w:trPr>
          <w:trHeight w:val="290"/>
        </w:trPr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210EDFD4" w14:textId="77777777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City Tower</w:t>
            </w:r>
          </w:p>
        </w:tc>
        <w:tc>
          <w:tcPr>
            <w:tcW w:w="1276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52AD818F" w14:textId="7F6ADF5F" w:rsidR="00002F8F" w:rsidRPr="004B2A4A" w:rsidRDefault="00002F8F" w:rsidP="00002F8F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18</w:t>
            </w:r>
            <w:r w:rsidR="006654EF" w:rsidRPr="004B2A4A">
              <w:rPr>
                <w:color w:val="435254"/>
                <w:sz w:val="22"/>
                <w:szCs w:val="22"/>
                <w:lang w:eastAsia="cs-CZ"/>
              </w:rPr>
              <w:t> </w:t>
            </w:r>
            <w:r w:rsidRPr="004B2A4A">
              <w:rPr>
                <w:color w:val="435254"/>
                <w:sz w:val="22"/>
                <w:szCs w:val="22"/>
                <w:lang w:eastAsia="cs-CZ"/>
              </w:rPr>
              <w:t>000</w:t>
            </w:r>
            <w:r w:rsidR="006654EF" w:rsidRPr="004B2A4A">
              <w:rPr>
                <w:color w:val="435254"/>
                <w:sz w:val="22"/>
                <w:szCs w:val="22"/>
                <w:lang w:eastAsia="cs-CZ"/>
              </w:rPr>
              <w:t xml:space="preserve"> m</w:t>
            </w:r>
            <w:r w:rsidR="006654EF" w:rsidRPr="004B2A4A">
              <w:rPr>
                <w:color w:val="435254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655037F8" w14:textId="77777777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Raiffeisenbank</w:t>
            </w:r>
          </w:p>
        </w:tc>
      </w:tr>
      <w:tr w:rsidR="00002F8F" w:rsidRPr="00B703EF" w14:paraId="35214410" w14:textId="77777777" w:rsidTr="00047C36">
        <w:trPr>
          <w:trHeight w:val="290"/>
        </w:trPr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  <w:hideMark/>
          </w:tcPr>
          <w:p w14:paraId="380A757C" w14:textId="257DAD4C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 xml:space="preserve">Mechanica </w:t>
            </w:r>
            <w:r w:rsidR="00047C36" w:rsidRPr="004B2A4A">
              <w:rPr>
                <w:color w:val="435254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1276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  <w:hideMark/>
          </w:tcPr>
          <w:p w14:paraId="0449F775" w14:textId="503F2FB6" w:rsidR="00002F8F" w:rsidRPr="004B2A4A" w:rsidRDefault="00002F8F" w:rsidP="00002F8F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15 000</w:t>
            </w:r>
            <w:r w:rsidR="006654EF" w:rsidRPr="004B2A4A">
              <w:rPr>
                <w:color w:val="435254"/>
                <w:sz w:val="22"/>
                <w:szCs w:val="22"/>
                <w:lang w:eastAsia="cs-CZ"/>
              </w:rPr>
              <w:t xml:space="preserve"> m</w:t>
            </w:r>
            <w:r w:rsidR="006654EF" w:rsidRPr="004B2A4A">
              <w:rPr>
                <w:color w:val="435254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  <w:hideMark/>
          </w:tcPr>
          <w:p w14:paraId="24A6FC14" w14:textId="77777777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Johnson &amp; Johnson</w:t>
            </w:r>
          </w:p>
        </w:tc>
      </w:tr>
      <w:tr w:rsidR="00002F8F" w:rsidRPr="00B703EF" w14:paraId="3E12B504" w14:textId="77777777" w:rsidTr="00047C36">
        <w:trPr>
          <w:trHeight w:val="290"/>
        </w:trPr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583CE783" w14:textId="77777777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Palác Křižík</w:t>
            </w:r>
          </w:p>
        </w:tc>
        <w:tc>
          <w:tcPr>
            <w:tcW w:w="1276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338A744B" w14:textId="26D5C55B" w:rsidR="00002F8F" w:rsidRPr="004B2A4A" w:rsidRDefault="00002F8F" w:rsidP="00002F8F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14 800</w:t>
            </w:r>
            <w:r w:rsidR="006654EF" w:rsidRPr="004B2A4A">
              <w:rPr>
                <w:color w:val="435254"/>
                <w:sz w:val="22"/>
                <w:szCs w:val="22"/>
                <w:lang w:eastAsia="cs-CZ"/>
              </w:rPr>
              <w:t xml:space="preserve"> m</w:t>
            </w:r>
            <w:r w:rsidR="006654EF" w:rsidRPr="004B2A4A">
              <w:rPr>
                <w:color w:val="435254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619C23B5" w14:textId="77777777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Seznam.cz</w:t>
            </w:r>
          </w:p>
        </w:tc>
      </w:tr>
      <w:tr w:rsidR="00002F8F" w:rsidRPr="00B703EF" w14:paraId="78B54590" w14:textId="77777777" w:rsidTr="00047C36">
        <w:trPr>
          <w:trHeight w:val="290"/>
        </w:trPr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  <w:hideMark/>
          </w:tcPr>
          <w:p w14:paraId="6EB72142" w14:textId="77777777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Gemini B</w:t>
            </w:r>
          </w:p>
        </w:tc>
        <w:tc>
          <w:tcPr>
            <w:tcW w:w="1276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  <w:hideMark/>
          </w:tcPr>
          <w:p w14:paraId="0283D3C5" w14:textId="2D0EE746" w:rsidR="00002F8F" w:rsidRPr="004B2A4A" w:rsidRDefault="00002F8F" w:rsidP="00002F8F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14 300</w:t>
            </w:r>
            <w:r w:rsidR="006654EF" w:rsidRPr="004B2A4A">
              <w:rPr>
                <w:color w:val="435254"/>
                <w:sz w:val="22"/>
                <w:szCs w:val="22"/>
                <w:lang w:eastAsia="cs-CZ"/>
              </w:rPr>
              <w:t xml:space="preserve"> m</w:t>
            </w:r>
            <w:r w:rsidR="006654EF" w:rsidRPr="004B2A4A">
              <w:rPr>
                <w:color w:val="435254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  <w:hideMark/>
          </w:tcPr>
          <w:p w14:paraId="165FEA89" w14:textId="77777777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Novartis</w:t>
            </w:r>
          </w:p>
        </w:tc>
      </w:tr>
      <w:tr w:rsidR="00002F8F" w:rsidRPr="00B703EF" w14:paraId="1B913857" w14:textId="77777777" w:rsidTr="00047C36">
        <w:trPr>
          <w:trHeight w:val="290"/>
        </w:trPr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5D3A9434" w14:textId="77777777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City Green Court</w:t>
            </w:r>
          </w:p>
        </w:tc>
        <w:tc>
          <w:tcPr>
            <w:tcW w:w="1276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2B548880" w14:textId="1F02D90F" w:rsidR="00002F8F" w:rsidRPr="004B2A4A" w:rsidRDefault="00002F8F" w:rsidP="00002F8F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13 400</w:t>
            </w:r>
            <w:r w:rsidR="006654EF" w:rsidRPr="004B2A4A">
              <w:rPr>
                <w:color w:val="435254"/>
                <w:sz w:val="22"/>
                <w:szCs w:val="22"/>
                <w:lang w:eastAsia="cs-CZ"/>
              </w:rPr>
              <w:t xml:space="preserve"> m</w:t>
            </w:r>
            <w:r w:rsidR="006654EF" w:rsidRPr="004B2A4A">
              <w:rPr>
                <w:color w:val="435254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650568C5" w14:textId="77777777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PWC</w:t>
            </w:r>
          </w:p>
        </w:tc>
      </w:tr>
      <w:tr w:rsidR="00002F8F" w:rsidRPr="00B703EF" w14:paraId="7DA355DE" w14:textId="77777777" w:rsidTr="00047C36">
        <w:trPr>
          <w:trHeight w:val="290"/>
        </w:trPr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</w:tcPr>
          <w:p w14:paraId="24DC759F" w14:textId="52D61B82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Five</w:t>
            </w:r>
          </w:p>
        </w:tc>
        <w:tc>
          <w:tcPr>
            <w:tcW w:w="1276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</w:tcPr>
          <w:p w14:paraId="389915E0" w14:textId="0296D9CA" w:rsidR="00002F8F" w:rsidRPr="004B2A4A" w:rsidRDefault="00002F8F" w:rsidP="00002F8F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11 300</w:t>
            </w:r>
            <w:r w:rsidR="006654EF" w:rsidRPr="004B2A4A">
              <w:rPr>
                <w:color w:val="435254"/>
                <w:sz w:val="22"/>
                <w:szCs w:val="22"/>
                <w:lang w:eastAsia="cs-CZ"/>
              </w:rPr>
              <w:t xml:space="preserve"> m</w:t>
            </w:r>
            <w:r w:rsidR="006654EF" w:rsidRPr="004B2A4A">
              <w:rPr>
                <w:color w:val="435254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</w:tcPr>
          <w:p w14:paraId="63E9064B" w14:textId="068A0E6B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MSD Czech Republic</w:t>
            </w:r>
          </w:p>
        </w:tc>
      </w:tr>
      <w:tr w:rsidR="00002F8F" w:rsidRPr="00B703EF" w14:paraId="1800D9E1" w14:textId="77777777" w:rsidTr="00047C36">
        <w:trPr>
          <w:trHeight w:val="290"/>
        </w:trPr>
        <w:tc>
          <w:tcPr>
            <w:tcW w:w="212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16AAA0E3" w14:textId="77777777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Aviatica</w:t>
            </w:r>
          </w:p>
        </w:tc>
        <w:tc>
          <w:tcPr>
            <w:tcW w:w="1276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2AEAD818" w14:textId="2953362F" w:rsidR="00002F8F" w:rsidRPr="004B2A4A" w:rsidRDefault="00002F8F" w:rsidP="00002F8F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10 400</w:t>
            </w:r>
            <w:r w:rsidR="006654EF" w:rsidRPr="004B2A4A">
              <w:rPr>
                <w:color w:val="435254"/>
                <w:sz w:val="22"/>
                <w:szCs w:val="22"/>
                <w:lang w:eastAsia="cs-CZ"/>
              </w:rPr>
              <w:t xml:space="preserve"> m</w:t>
            </w:r>
            <w:r w:rsidR="006654EF" w:rsidRPr="004B2A4A">
              <w:rPr>
                <w:color w:val="435254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0E70C9F8" w14:textId="77777777" w:rsidR="00002F8F" w:rsidRPr="004B2A4A" w:rsidRDefault="00002F8F" w:rsidP="00002F8F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Oracle</w:t>
            </w:r>
          </w:p>
        </w:tc>
      </w:tr>
    </w:tbl>
    <w:p w14:paraId="326C504F" w14:textId="77777777" w:rsidR="00BF6316" w:rsidRDefault="00BF6316" w:rsidP="00333651">
      <w:pPr>
        <w:pStyle w:val="BodyCopy"/>
      </w:pPr>
    </w:p>
    <w:p w14:paraId="570FF0F3" w14:textId="77777777" w:rsidR="00BF6316" w:rsidRDefault="00BF6316" w:rsidP="00333651">
      <w:pPr>
        <w:pStyle w:val="BodyCopy"/>
      </w:pPr>
    </w:p>
    <w:p w14:paraId="57D9005A" w14:textId="77777777" w:rsidR="00002F8F" w:rsidRDefault="00002F8F" w:rsidP="00333651">
      <w:pPr>
        <w:pStyle w:val="BodyCopy"/>
      </w:pPr>
    </w:p>
    <w:p w14:paraId="03E43CEF" w14:textId="77777777" w:rsidR="005B18C9" w:rsidRDefault="00002F8F" w:rsidP="006654EF">
      <w:pPr>
        <w:pStyle w:val="BodyCopy"/>
        <w:rPr>
          <w:b/>
          <w:bCs/>
        </w:rPr>
      </w:pPr>
      <w:r>
        <w:br/>
      </w:r>
    </w:p>
    <w:p w14:paraId="0070BB6D" w14:textId="77777777" w:rsidR="005B18C9" w:rsidRDefault="005B18C9" w:rsidP="006654EF">
      <w:pPr>
        <w:pStyle w:val="BodyCopy"/>
        <w:rPr>
          <w:b/>
          <w:bCs/>
        </w:rPr>
      </w:pPr>
    </w:p>
    <w:p w14:paraId="1C1B788B" w14:textId="77777777" w:rsidR="004434A3" w:rsidRDefault="005B18C9" w:rsidP="006654EF">
      <w:pPr>
        <w:pStyle w:val="BodyCopy"/>
        <w:rPr>
          <w:b/>
          <w:bCs/>
        </w:rPr>
      </w:pPr>
      <w:r>
        <w:rPr>
          <w:b/>
          <w:bCs/>
        </w:rPr>
        <w:br/>
      </w:r>
    </w:p>
    <w:p w14:paraId="51AA6418" w14:textId="77777777" w:rsidR="004434A3" w:rsidRDefault="004434A3" w:rsidP="006654EF">
      <w:pPr>
        <w:pStyle w:val="BodyCopy"/>
        <w:rPr>
          <w:b/>
          <w:bCs/>
        </w:rPr>
      </w:pPr>
    </w:p>
    <w:p w14:paraId="6861E515" w14:textId="77777777" w:rsidR="004434A3" w:rsidRDefault="004434A3" w:rsidP="006654EF">
      <w:pPr>
        <w:pStyle w:val="BodyCopy"/>
        <w:rPr>
          <w:b/>
          <w:bCs/>
        </w:rPr>
      </w:pPr>
    </w:p>
    <w:p w14:paraId="6AE081C6" w14:textId="77777777" w:rsidR="004434A3" w:rsidRDefault="004434A3" w:rsidP="006654EF">
      <w:pPr>
        <w:pStyle w:val="BodyCopy"/>
        <w:rPr>
          <w:b/>
          <w:bCs/>
        </w:rPr>
      </w:pPr>
    </w:p>
    <w:p w14:paraId="352A0B4B" w14:textId="77777777" w:rsidR="004434A3" w:rsidRDefault="004434A3" w:rsidP="006654EF">
      <w:pPr>
        <w:pStyle w:val="BodyCopy"/>
        <w:rPr>
          <w:b/>
          <w:bCs/>
        </w:rPr>
      </w:pPr>
    </w:p>
    <w:p w14:paraId="46E70712" w14:textId="3B3D53A4" w:rsidR="008B415C" w:rsidRPr="008B415C" w:rsidRDefault="008B415C" w:rsidP="006654EF">
      <w:pPr>
        <w:pStyle w:val="BodyCopy"/>
      </w:pPr>
      <w:r w:rsidRPr="008B415C">
        <w:t>Zdroj: CBRE</w:t>
      </w:r>
    </w:p>
    <w:p w14:paraId="39F219D5" w14:textId="77777777" w:rsidR="008B415C" w:rsidRDefault="008B415C" w:rsidP="006654EF">
      <w:pPr>
        <w:pStyle w:val="BodyCopy"/>
        <w:rPr>
          <w:b/>
          <w:bCs/>
        </w:rPr>
      </w:pPr>
    </w:p>
    <w:p w14:paraId="2E69FEE9" w14:textId="41DF78CC" w:rsidR="006654EF" w:rsidRPr="00276128" w:rsidRDefault="006654EF" w:rsidP="006654EF">
      <w:pPr>
        <w:pStyle w:val="BodyCopy"/>
        <w:rPr>
          <w:b/>
          <w:bCs/>
        </w:rPr>
      </w:pPr>
      <w:r>
        <w:rPr>
          <w:b/>
          <w:bCs/>
        </w:rPr>
        <w:lastRenderedPageBreak/>
        <w:t xml:space="preserve">Top 5 </w:t>
      </w:r>
      <w:r w:rsidRPr="00276128">
        <w:rPr>
          <w:b/>
          <w:bCs/>
        </w:rPr>
        <w:t xml:space="preserve">největších </w:t>
      </w:r>
      <w:r>
        <w:rPr>
          <w:b/>
          <w:bCs/>
        </w:rPr>
        <w:t>průmyslových a logistických pronájmů</w:t>
      </w:r>
      <w:r w:rsidRPr="00276128">
        <w:rPr>
          <w:b/>
          <w:bCs/>
        </w:rPr>
        <w:t xml:space="preserve">, </w:t>
      </w:r>
      <w:r>
        <w:rPr>
          <w:b/>
          <w:bCs/>
        </w:rPr>
        <w:t>které</w:t>
      </w:r>
      <w:r w:rsidRPr="00276128">
        <w:rPr>
          <w:b/>
          <w:bCs/>
        </w:rPr>
        <w:t xml:space="preserve"> CBRE za 25 let </w:t>
      </w:r>
      <w:r>
        <w:rPr>
          <w:b/>
          <w:bCs/>
        </w:rPr>
        <w:t>zprostředkovala</w:t>
      </w:r>
    </w:p>
    <w:p w14:paraId="33650C22" w14:textId="77777777" w:rsidR="006654EF" w:rsidRDefault="006654EF" w:rsidP="006654EF">
      <w:pPr>
        <w:pStyle w:val="BodyCopy"/>
        <w:rPr>
          <w:sz w:val="22"/>
          <w:szCs w:val="22"/>
        </w:rPr>
      </w:pPr>
    </w:p>
    <w:tbl>
      <w:tblPr>
        <w:tblpPr w:leftFromText="180" w:rightFromText="180" w:vertAnchor="text" w:horzAnchor="margin" w:tblpY="96"/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418"/>
        <w:gridCol w:w="2268"/>
        <w:gridCol w:w="1559"/>
      </w:tblGrid>
      <w:tr w:rsidR="006654EF" w:rsidRPr="00B703EF" w14:paraId="7C5C440C" w14:textId="60F3AFA3" w:rsidTr="00C36C83">
        <w:trPr>
          <w:trHeight w:val="695"/>
        </w:trPr>
        <w:tc>
          <w:tcPr>
            <w:tcW w:w="297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000000" w:fill="80BBAD"/>
            <w:vAlign w:val="center"/>
            <w:hideMark/>
          </w:tcPr>
          <w:p w14:paraId="468F45E0" w14:textId="0BCB1D5E" w:rsidR="006654EF" w:rsidRPr="004B2A4A" w:rsidRDefault="006654EF" w:rsidP="005B18C9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4B2A4A">
              <w:rPr>
                <w:b/>
                <w:bCs/>
                <w:color w:val="FFFFFF"/>
                <w:sz w:val="22"/>
                <w:szCs w:val="22"/>
                <w:lang w:eastAsia="cs-CZ"/>
              </w:rPr>
              <w:t>Nemovitost</w:t>
            </w:r>
          </w:p>
        </w:tc>
        <w:tc>
          <w:tcPr>
            <w:tcW w:w="141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000000" w:fill="80BBAD"/>
            <w:vAlign w:val="center"/>
            <w:hideMark/>
          </w:tcPr>
          <w:p w14:paraId="01786DD5" w14:textId="77777777" w:rsidR="006654EF" w:rsidRPr="004B2A4A" w:rsidRDefault="006654EF" w:rsidP="005B18C9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4B2A4A">
              <w:rPr>
                <w:b/>
                <w:bCs/>
                <w:color w:val="FFFFFF"/>
                <w:sz w:val="22"/>
                <w:szCs w:val="22"/>
                <w:lang w:eastAsia="cs-CZ"/>
              </w:rPr>
              <w:t>Velikost pronájmu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000000" w:fill="80BBAD"/>
            <w:vAlign w:val="center"/>
            <w:hideMark/>
          </w:tcPr>
          <w:p w14:paraId="041A347D" w14:textId="62F5CB67" w:rsidR="006654EF" w:rsidRPr="004B2A4A" w:rsidRDefault="006654EF" w:rsidP="005B18C9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4B2A4A">
              <w:rPr>
                <w:b/>
                <w:bCs/>
                <w:color w:val="FFFFFF"/>
                <w:sz w:val="22"/>
                <w:szCs w:val="22"/>
                <w:lang w:eastAsia="cs-CZ"/>
              </w:rPr>
              <w:t>Nájemce z oboru</w:t>
            </w:r>
          </w:p>
        </w:tc>
        <w:tc>
          <w:tcPr>
            <w:tcW w:w="155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000000" w:fill="80BBAD"/>
            <w:vAlign w:val="center"/>
          </w:tcPr>
          <w:p w14:paraId="7FA5DFE5" w14:textId="03AD6B26" w:rsidR="006654EF" w:rsidRPr="004B2A4A" w:rsidRDefault="006654EF" w:rsidP="005B18C9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4B2A4A">
              <w:rPr>
                <w:b/>
                <w:bCs/>
                <w:color w:val="FFFFFF"/>
                <w:sz w:val="22"/>
                <w:szCs w:val="22"/>
                <w:lang w:eastAsia="cs-CZ"/>
              </w:rPr>
              <w:t>Rok uzavření</w:t>
            </w:r>
          </w:p>
        </w:tc>
      </w:tr>
      <w:tr w:rsidR="006654EF" w:rsidRPr="00B703EF" w14:paraId="370CEF09" w14:textId="198B52AC" w:rsidTr="00C36C83">
        <w:trPr>
          <w:trHeight w:val="290"/>
        </w:trPr>
        <w:tc>
          <w:tcPr>
            <w:tcW w:w="297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</w:tcPr>
          <w:p w14:paraId="7AAB853D" w14:textId="5FD9D0F6" w:rsidR="006654EF" w:rsidRPr="004B2A4A" w:rsidRDefault="006654EF" w:rsidP="00577A7C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Panattoni Park Cheb</w:t>
            </w:r>
          </w:p>
        </w:tc>
        <w:tc>
          <w:tcPr>
            <w:tcW w:w="141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</w:tcPr>
          <w:p w14:paraId="21235FEF" w14:textId="0C4D8C89" w:rsidR="006654EF" w:rsidRPr="004B2A4A" w:rsidRDefault="006654EF" w:rsidP="006654EF">
            <w:pPr>
              <w:jc w:val="right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233 000 m</w:t>
            </w:r>
            <w:r w:rsidRPr="004B2A4A">
              <w:rPr>
                <w:color w:val="435254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</w:tcPr>
          <w:p w14:paraId="65242784" w14:textId="418C6543" w:rsidR="006654EF" w:rsidRPr="004B2A4A" w:rsidRDefault="006654EF" w:rsidP="005B18C9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retail / e-commerce</w:t>
            </w:r>
          </w:p>
        </w:tc>
        <w:tc>
          <w:tcPr>
            <w:tcW w:w="155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</w:tcPr>
          <w:p w14:paraId="10EF5B57" w14:textId="7B81545C" w:rsidR="006654EF" w:rsidRPr="004B2A4A" w:rsidRDefault="006654EF" w:rsidP="005B18C9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2022</w:t>
            </w:r>
          </w:p>
        </w:tc>
      </w:tr>
      <w:tr w:rsidR="006654EF" w:rsidRPr="00B703EF" w14:paraId="142DA510" w14:textId="498FDDB0" w:rsidTr="00C36C83">
        <w:trPr>
          <w:trHeight w:val="290"/>
        </w:trPr>
        <w:tc>
          <w:tcPr>
            <w:tcW w:w="297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063AFE52" w14:textId="067CD127" w:rsidR="006654EF" w:rsidRPr="004B2A4A" w:rsidRDefault="006654EF" w:rsidP="00577A7C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Panattoni Park Kojetín</w:t>
            </w:r>
          </w:p>
        </w:tc>
        <w:tc>
          <w:tcPr>
            <w:tcW w:w="141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203B3F4C" w14:textId="6178768A" w:rsidR="006654EF" w:rsidRPr="004B2A4A" w:rsidRDefault="006654EF" w:rsidP="006654EF">
            <w:pPr>
              <w:jc w:val="right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186 000 m</w:t>
            </w:r>
            <w:r w:rsidRPr="004B2A4A">
              <w:rPr>
                <w:color w:val="435254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1BF8003B" w14:textId="4062681E" w:rsidR="006654EF" w:rsidRPr="004B2A4A" w:rsidRDefault="006654EF" w:rsidP="005B18C9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retail / e-commerce</w:t>
            </w:r>
          </w:p>
        </w:tc>
        <w:tc>
          <w:tcPr>
            <w:tcW w:w="155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</w:tcPr>
          <w:p w14:paraId="2F3894E9" w14:textId="28E13316" w:rsidR="006654EF" w:rsidRPr="004B2A4A" w:rsidRDefault="006654EF" w:rsidP="005B18C9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2021</w:t>
            </w:r>
          </w:p>
        </w:tc>
      </w:tr>
      <w:tr w:rsidR="006654EF" w:rsidRPr="00B703EF" w14:paraId="1F4C11B4" w14:textId="28B57EAB" w:rsidTr="00C36C83">
        <w:trPr>
          <w:trHeight w:val="290"/>
        </w:trPr>
        <w:tc>
          <w:tcPr>
            <w:tcW w:w="297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  <w:hideMark/>
          </w:tcPr>
          <w:p w14:paraId="3622112F" w14:textId="526BF592" w:rsidR="006654EF" w:rsidRPr="004B2A4A" w:rsidRDefault="006654EF" w:rsidP="00577A7C">
            <w:pPr>
              <w:rPr>
                <w:color w:val="435254"/>
                <w:sz w:val="22"/>
                <w:szCs w:val="22"/>
                <w:lang w:eastAsia="cs-CZ"/>
              </w:rPr>
            </w:pPr>
            <w:proofErr w:type="spellStart"/>
            <w:r w:rsidRPr="004B2A4A">
              <w:rPr>
                <w:color w:val="435254"/>
                <w:sz w:val="22"/>
                <w:szCs w:val="22"/>
                <w:lang w:eastAsia="cs-CZ"/>
              </w:rPr>
              <w:t>Concens</w:t>
            </w:r>
            <w:proofErr w:type="spellEnd"/>
            <w:r w:rsidRPr="004B2A4A">
              <w:rPr>
                <w:color w:val="435254"/>
                <w:sz w:val="22"/>
                <w:szCs w:val="22"/>
                <w:lang w:eastAsia="cs-CZ"/>
              </w:rPr>
              <w:t xml:space="preserve"> Park Mošnov</w:t>
            </w:r>
          </w:p>
        </w:tc>
        <w:tc>
          <w:tcPr>
            <w:tcW w:w="141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  <w:hideMark/>
          </w:tcPr>
          <w:p w14:paraId="53F9FEA8" w14:textId="6158319A" w:rsidR="006654EF" w:rsidRPr="004B2A4A" w:rsidRDefault="006654EF" w:rsidP="006654EF">
            <w:pPr>
              <w:jc w:val="right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127 000 m</w:t>
            </w:r>
            <w:r w:rsidRPr="004B2A4A">
              <w:rPr>
                <w:color w:val="435254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  <w:hideMark/>
          </w:tcPr>
          <w:p w14:paraId="38AB50EB" w14:textId="4DD15882" w:rsidR="006654EF" w:rsidRPr="004B2A4A" w:rsidRDefault="006654EF" w:rsidP="005B18C9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retail / e-commerce</w:t>
            </w:r>
          </w:p>
        </w:tc>
        <w:tc>
          <w:tcPr>
            <w:tcW w:w="155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</w:tcPr>
          <w:p w14:paraId="55C93FA9" w14:textId="7CC4B511" w:rsidR="006654EF" w:rsidRPr="004B2A4A" w:rsidRDefault="006654EF" w:rsidP="005B18C9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2024</w:t>
            </w:r>
          </w:p>
        </w:tc>
      </w:tr>
      <w:tr w:rsidR="006654EF" w:rsidRPr="00B703EF" w14:paraId="448A0067" w14:textId="249C128F" w:rsidTr="00C36C83">
        <w:trPr>
          <w:trHeight w:val="290"/>
        </w:trPr>
        <w:tc>
          <w:tcPr>
            <w:tcW w:w="297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444FE10F" w14:textId="1920DA73" w:rsidR="006654EF" w:rsidRPr="004B2A4A" w:rsidRDefault="006654EF" w:rsidP="00577A7C">
            <w:pPr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CTPark Bor</w:t>
            </w:r>
          </w:p>
        </w:tc>
        <w:tc>
          <w:tcPr>
            <w:tcW w:w="141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4779DEE8" w14:textId="3EE72F65" w:rsidR="006654EF" w:rsidRPr="004B2A4A" w:rsidRDefault="006654EF" w:rsidP="006654EF">
            <w:pPr>
              <w:jc w:val="right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62 000 m</w:t>
            </w:r>
            <w:r w:rsidRPr="004B2A4A">
              <w:rPr>
                <w:color w:val="435254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auto" w:fill="auto"/>
            <w:noWrap/>
            <w:vAlign w:val="bottom"/>
            <w:hideMark/>
          </w:tcPr>
          <w:p w14:paraId="296937AF" w14:textId="0AD41F59" w:rsidR="006654EF" w:rsidRPr="004B2A4A" w:rsidRDefault="006654EF" w:rsidP="005B18C9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logistika</w:t>
            </w:r>
          </w:p>
        </w:tc>
        <w:tc>
          <w:tcPr>
            <w:tcW w:w="155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</w:tcPr>
          <w:p w14:paraId="1280BB76" w14:textId="0D135CE3" w:rsidR="006654EF" w:rsidRPr="004B2A4A" w:rsidRDefault="006654EF" w:rsidP="005B18C9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2017</w:t>
            </w:r>
          </w:p>
        </w:tc>
      </w:tr>
      <w:tr w:rsidR="006654EF" w:rsidRPr="00B703EF" w14:paraId="3B9F26FA" w14:textId="6FA46A97" w:rsidTr="00C36C83">
        <w:trPr>
          <w:trHeight w:val="290"/>
        </w:trPr>
        <w:tc>
          <w:tcPr>
            <w:tcW w:w="2977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  <w:hideMark/>
          </w:tcPr>
          <w:p w14:paraId="7D3E425C" w14:textId="443A0AB1" w:rsidR="006654EF" w:rsidRPr="004B2A4A" w:rsidRDefault="00E77A43" w:rsidP="00577A7C">
            <w:pPr>
              <w:rPr>
                <w:color w:val="435254"/>
                <w:sz w:val="22"/>
                <w:szCs w:val="22"/>
                <w:lang w:eastAsia="cs-CZ"/>
              </w:rPr>
            </w:pPr>
            <w:proofErr w:type="spellStart"/>
            <w:r>
              <w:rPr>
                <w:color w:val="435254"/>
                <w:sz w:val="22"/>
                <w:szCs w:val="22"/>
                <w:lang w:eastAsia="cs-CZ"/>
              </w:rPr>
              <w:t>Prologis</w:t>
            </w:r>
            <w:proofErr w:type="spellEnd"/>
            <w:r>
              <w:rPr>
                <w:color w:val="435254"/>
                <w:sz w:val="22"/>
                <w:szCs w:val="22"/>
                <w:lang w:eastAsia="cs-CZ"/>
              </w:rPr>
              <w:t xml:space="preserve"> Park Prague-Rudná</w:t>
            </w:r>
          </w:p>
        </w:tc>
        <w:tc>
          <w:tcPr>
            <w:tcW w:w="141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  <w:hideMark/>
          </w:tcPr>
          <w:p w14:paraId="5884C68C" w14:textId="32F860B7" w:rsidR="006654EF" w:rsidRPr="004B2A4A" w:rsidRDefault="00E77A43" w:rsidP="006654EF">
            <w:pPr>
              <w:jc w:val="right"/>
              <w:rPr>
                <w:color w:val="435254"/>
                <w:sz w:val="22"/>
                <w:szCs w:val="22"/>
                <w:lang w:eastAsia="cs-CZ"/>
              </w:rPr>
            </w:pPr>
            <w:r>
              <w:rPr>
                <w:color w:val="435254"/>
                <w:sz w:val="22"/>
                <w:szCs w:val="22"/>
                <w:lang w:eastAsia="cs-CZ"/>
              </w:rPr>
              <w:t>58</w:t>
            </w:r>
            <w:r w:rsidR="006654EF" w:rsidRPr="004B2A4A">
              <w:rPr>
                <w:color w:val="435254"/>
                <w:sz w:val="22"/>
                <w:szCs w:val="22"/>
                <w:lang w:eastAsia="cs-CZ"/>
              </w:rPr>
              <w:t xml:space="preserve"> </w:t>
            </w:r>
            <w:r>
              <w:rPr>
                <w:color w:val="435254"/>
                <w:sz w:val="22"/>
                <w:szCs w:val="22"/>
                <w:lang w:eastAsia="cs-CZ"/>
              </w:rPr>
              <w:t>6</w:t>
            </w:r>
            <w:r w:rsidR="006654EF" w:rsidRPr="004B2A4A">
              <w:rPr>
                <w:color w:val="435254"/>
                <w:sz w:val="22"/>
                <w:szCs w:val="22"/>
                <w:lang w:eastAsia="cs-CZ"/>
              </w:rPr>
              <w:t>00 m</w:t>
            </w:r>
            <w:r w:rsidR="006654EF" w:rsidRPr="004B2A4A">
              <w:rPr>
                <w:color w:val="435254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  <w:noWrap/>
            <w:vAlign w:val="bottom"/>
            <w:hideMark/>
          </w:tcPr>
          <w:p w14:paraId="78C1BDE6" w14:textId="4497B94B" w:rsidR="006654EF" w:rsidRPr="004B2A4A" w:rsidRDefault="006654EF" w:rsidP="005B18C9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logistika</w:t>
            </w:r>
          </w:p>
        </w:tc>
        <w:tc>
          <w:tcPr>
            <w:tcW w:w="1559" w:type="dxa"/>
            <w:tcBorders>
              <w:top w:val="single" w:sz="4" w:space="0" w:color="BFD0D2"/>
              <w:left w:val="nil"/>
              <w:bottom w:val="single" w:sz="4" w:space="0" w:color="BFD0D2"/>
              <w:right w:val="nil"/>
            </w:tcBorders>
            <w:shd w:val="clear" w:color="EAEFF0" w:fill="EAEFF0"/>
          </w:tcPr>
          <w:p w14:paraId="119A2310" w14:textId="7DA31995" w:rsidR="006654EF" w:rsidRPr="004B2A4A" w:rsidRDefault="00E77A43" w:rsidP="005B18C9">
            <w:pPr>
              <w:jc w:val="center"/>
              <w:rPr>
                <w:color w:val="435254"/>
                <w:sz w:val="22"/>
                <w:szCs w:val="22"/>
                <w:lang w:eastAsia="cs-CZ"/>
              </w:rPr>
            </w:pPr>
            <w:r w:rsidRPr="004B2A4A">
              <w:rPr>
                <w:color w:val="435254"/>
                <w:sz w:val="22"/>
                <w:szCs w:val="22"/>
                <w:lang w:eastAsia="cs-CZ"/>
              </w:rPr>
              <w:t>20</w:t>
            </w:r>
            <w:r>
              <w:rPr>
                <w:color w:val="435254"/>
                <w:sz w:val="22"/>
                <w:szCs w:val="22"/>
                <w:lang w:eastAsia="cs-CZ"/>
              </w:rPr>
              <w:t>22</w:t>
            </w:r>
          </w:p>
        </w:tc>
      </w:tr>
    </w:tbl>
    <w:p w14:paraId="40BC2C49" w14:textId="77777777" w:rsidR="00047C36" w:rsidRDefault="00047C36" w:rsidP="00333651">
      <w:pPr>
        <w:pStyle w:val="BodyCopy"/>
      </w:pPr>
    </w:p>
    <w:p w14:paraId="593C72C9" w14:textId="77777777" w:rsidR="006654EF" w:rsidRDefault="006654EF" w:rsidP="00333651">
      <w:pPr>
        <w:pStyle w:val="BodyCopy"/>
      </w:pPr>
    </w:p>
    <w:p w14:paraId="09B05174" w14:textId="77777777" w:rsidR="006654EF" w:rsidRDefault="006654EF" w:rsidP="00333651">
      <w:pPr>
        <w:pStyle w:val="BodyCopy"/>
      </w:pPr>
    </w:p>
    <w:p w14:paraId="259FF437" w14:textId="77777777" w:rsidR="006654EF" w:rsidRDefault="006654EF" w:rsidP="00333651">
      <w:pPr>
        <w:pStyle w:val="BodyCopy"/>
      </w:pPr>
    </w:p>
    <w:p w14:paraId="332AE7F2" w14:textId="77777777" w:rsidR="008B415C" w:rsidRDefault="008B415C" w:rsidP="00333651">
      <w:pPr>
        <w:pStyle w:val="BodyCopy"/>
        <w:rPr>
          <w:b/>
          <w:bCs/>
        </w:rPr>
      </w:pPr>
    </w:p>
    <w:p w14:paraId="74A152CA" w14:textId="77777777" w:rsidR="008B415C" w:rsidRDefault="008B415C" w:rsidP="00333651">
      <w:pPr>
        <w:pStyle w:val="BodyCopy"/>
        <w:rPr>
          <w:b/>
          <w:bCs/>
        </w:rPr>
      </w:pPr>
    </w:p>
    <w:p w14:paraId="3CAF28E2" w14:textId="77777777" w:rsidR="008B415C" w:rsidRDefault="008B415C" w:rsidP="00333651">
      <w:pPr>
        <w:pStyle w:val="BodyCopy"/>
        <w:rPr>
          <w:b/>
          <w:bCs/>
        </w:rPr>
      </w:pPr>
    </w:p>
    <w:p w14:paraId="37032200" w14:textId="77777777" w:rsidR="008B415C" w:rsidRDefault="008B415C" w:rsidP="00333651">
      <w:pPr>
        <w:pStyle w:val="BodyCopy"/>
        <w:rPr>
          <w:b/>
          <w:bCs/>
        </w:rPr>
      </w:pPr>
    </w:p>
    <w:p w14:paraId="37278A92" w14:textId="77777777" w:rsidR="008B415C" w:rsidRDefault="008B415C" w:rsidP="00333651">
      <w:pPr>
        <w:pStyle w:val="BodyCopy"/>
        <w:rPr>
          <w:b/>
          <w:bCs/>
        </w:rPr>
      </w:pPr>
    </w:p>
    <w:p w14:paraId="336C792D" w14:textId="77777777" w:rsidR="008B415C" w:rsidRPr="008B415C" w:rsidRDefault="008B415C" w:rsidP="00333651">
      <w:pPr>
        <w:pStyle w:val="BodyCopy"/>
      </w:pPr>
      <w:r w:rsidRPr="008B415C">
        <w:t>Zdroj: CBRE</w:t>
      </w:r>
    </w:p>
    <w:p w14:paraId="16B25712" w14:textId="77777777" w:rsidR="008B415C" w:rsidRDefault="008B415C" w:rsidP="00333651">
      <w:pPr>
        <w:pStyle w:val="BodyCopy"/>
        <w:rPr>
          <w:b/>
          <w:bCs/>
        </w:rPr>
      </w:pPr>
    </w:p>
    <w:p w14:paraId="3E3DD7A6" w14:textId="6371901B" w:rsidR="00990AB2" w:rsidRPr="00276128" w:rsidRDefault="00E77777" w:rsidP="00333651">
      <w:pPr>
        <w:pStyle w:val="BodyCopy"/>
        <w:rPr>
          <w:b/>
          <w:bCs/>
        </w:rPr>
      </w:pPr>
      <w:r w:rsidRPr="00E77777">
        <w:rPr>
          <w:b/>
          <w:bCs/>
        </w:rPr>
        <w:t>Objemy investic do komerčních realit v České republice dle jednotlivých sektorů</w:t>
      </w:r>
      <w:r w:rsidR="00990AB2" w:rsidRPr="00276128">
        <w:rPr>
          <w:b/>
          <w:bCs/>
        </w:rPr>
        <w:br/>
      </w:r>
    </w:p>
    <w:p w14:paraId="05B0BD5D" w14:textId="29466482" w:rsidR="00990AB2" w:rsidRPr="00276128" w:rsidRDefault="00E77777" w:rsidP="00333651">
      <w:pPr>
        <w:pStyle w:val="BodyCopy"/>
      </w:pPr>
      <w:r>
        <w:rPr>
          <w:noProof/>
        </w:rPr>
        <w:drawing>
          <wp:inline distT="0" distB="0" distL="0" distR="0" wp14:anchorId="0C8A9D28" wp14:editId="01ED9B43">
            <wp:extent cx="5476875" cy="3713734"/>
            <wp:effectExtent l="0" t="0" r="0" b="1270"/>
            <wp:docPr id="1695360412" name="Picture 1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60412" name="Picture 1" descr="A graph of different colored lin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6793" cy="373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4DDB7" w14:textId="77777777" w:rsidR="00990AB2" w:rsidRPr="00276128" w:rsidRDefault="00990AB2" w:rsidP="00333651">
      <w:pPr>
        <w:pStyle w:val="BodyCopy"/>
      </w:pPr>
    </w:p>
    <w:p w14:paraId="54E82712" w14:textId="77777777" w:rsidR="00E77777" w:rsidRDefault="00E77777" w:rsidP="00333651">
      <w:pPr>
        <w:pStyle w:val="BodyCopy"/>
        <w:rPr>
          <w:b/>
          <w:bCs/>
        </w:rPr>
      </w:pPr>
    </w:p>
    <w:p w14:paraId="7CBA32BA" w14:textId="22ACA950" w:rsidR="00990AB2" w:rsidRPr="00276128" w:rsidRDefault="00E77777" w:rsidP="00333651">
      <w:pPr>
        <w:pStyle w:val="BodyCopy"/>
        <w:rPr>
          <w:b/>
          <w:bCs/>
        </w:rPr>
      </w:pPr>
      <w:r w:rsidRPr="00E77777">
        <w:rPr>
          <w:b/>
          <w:bCs/>
        </w:rPr>
        <w:lastRenderedPageBreak/>
        <w:t>Podíl lokálních vs</w:t>
      </w:r>
      <w:r>
        <w:rPr>
          <w:b/>
          <w:bCs/>
        </w:rPr>
        <w:t>.</w:t>
      </w:r>
      <w:r w:rsidRPr="00E77777">
        <w:rPr>
          <w:b/>
          <w:bCs/>
        </w:rPr>
        <w:t xml:space="preserve"> zahraničních investorů</w:t>
      </w:r>
      <w:r w:rsidR="00EC0885">
        <w:br/>
      </w:r>
      <w:r>
        <w:rPr>
          <w:b/>
          <w:bCs/>
          <w:noProof/>
        </w:rPr>
        <w:drawing>
          <wp:inline distT="0" distB="0" distL="0" distR="0" wp14:anchorId="36D441A9" wp14:editId="536D7BD7">
            <wp:extent cx="5334000" cy="3309842"/>
            <wp:effectExtent l="0" t="0" r="0" b="5080"/>
            <wp:docPr id="1383611763" name="Picture 2" descr="A graph with green and black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611763" name="Picture 2" descr="A graph with green and black bar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6334" cy="33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DC27C" w14:textId="55591B6D" w:rsidR="00D14239" w:rsidRPr="00276128" w:rsidRDefault="00D14239" w:rsidP="00333651">
      <w:pPr>
        <w:pStyle w:val="BodyCopy"/>
      </w:pPr>
    </w:p>
    <w:p w14:paraId="44D73F14" w14:textId="77777777" w:rsidR="00571A20" w:rsidRPr="00276128" w:rsidRDefault="00571A20" w:rsidP="00333651">
      <w:pPr>
        <w:pStyle w:val="BodyCopy"/>
        <w:rPr>
          <w:i/>
          <w:iCs/>
        </w:rPr>
      </w:pP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4427DE" w:rsidRPr="00276128" w14:paraId="413ED640" w14:textId="77777777" w:rsidTr="00AD1FC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AD2B8" w14:textId="77777777" w:rsidR="004427DE" w:rsidRPr="00276128" w:rsidRDefault="004427DE" w:rsidP="004427DE">
            <w:pPr>
              <w:pStyle w:val="BodyCopy"/>
            </w:pPr>
            <w:r w:rsidRPr="00276128">
              <w:rPr>
                <w:b/>
                <w:bCs/>
              </w:rPr>
              <w:t>Kontakty:</w:t>
            </w:r>
            <w:r w:rsidRPr="00276128"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9C9C" w14:textId="77777777" w:rsidR="004427DE" w:rsidRPr="00276128" w:rsidRDefault="004427DE" w:rsidP="004427DE">
            <w:pPr>
              <w:pStyle w:val="BodyCopy"/>
            </w:pPr>
            <w:r w:rsidRPr="00276128">
              <w:t> </w:t>
            </w:r>
          </w:p>
        </w:tc>
      </w:tr>
      <w:tr w:rsidR="004427DE" w:rsidRPr="00276128" w14:paraId="16C71829" w14:textId="77777777" w:rsidTr="00AD1FC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E3D54" w14:textId="77777777" w:rsidR="004427DE" w:rsidRPr="00276128" w:rsidRDefault="004427DE" w:rsidP="004427DE">
            <w:pPr>
              <w:pStyle w:val="BodyCopy"/>
            </w:pPr>
            <w:r w:rsidRPr="00276128">
              <w:rPr>
                <w:b/>
                <w:bCs/>
              </w:rPr>
              <w:t>Crest Communications, a.s.</w:t>
            </w:r>
            <w:r w:rsidRPr="00276128"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37E75" w14:textId="77777777" w:rsidR="004427DE" w:rsidRPr="00276128" w:rsidRDefault="004427DE" w:rsidP="004427DE">
            <w:pPr>
              <w:pStyle w:val="BodyCopy"/>
            </w:pPr>
            <w:r w:rsidRPr="00276128">
              <w:t> </w:t>
            </w:r>
          </w:p>
        </w:tc>
      </w:tr>
      <w:tr w:rsidR="004427DE" w:rsidRPr="00276128" w14:paraId="77BA1998" w14:textId="77777777" w:rsidTr="00AD1FC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6A593" w14:textId="77777777" w:rsidR="004427DE" w:rsidRPr="00276128" w:rsidRDefault="004427DE" w:rsidP="004427DE">
            <w:pPr>
              <w:pStyle w:val="BodyCopy"/>
            </w:pPr>
            <w:r w:rsidRPr="00276128">
              <w:t>Denisa Kolaříková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D997" w14:textId="77777777" w:rsidR="004427DE" w:rsidRPr="00276128" w:rsidRDefault="004427DE" w:rsidP="004427DE">
            <w:pPr>
              <w:pStyle w:val="BodyCopy"/>
            </w:pPr>
            <w:r w:rsidRPr="00276128">
              <w:t>Kamila Čadková </w:t>
            </w:r>
          </w:p>
        </w:tc>
      </w:tr>
      <w:tr w:rsidR="004427DE" w:rsidRPr="00276128" w14:paraId="758FA7AD" w14:textId="77777777" w:rsidTr="00AD1FC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4CEB6" w14:textId="77777777" w:rsidR="004427DE" w:rsidRPr="00276128" w:rsidRDefault="004427DE" w:rsidP="004427DE">
            <w:pPr>
              <w:pStyle w:val="BodyCopy"/>
            </w:pPr>
            <w:r w:rsidRPr="00276128">
              <w:t>Account Manager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E492" w14:textId="77777777" w:rsidR="004427DE" w:rsidRPr="00276128" w:rsidRDefault="004427DE" w:rsidP="004427DE">
            <w:pPr>
              <w:pStyle w:val="BodyCopy"/>
            </w:pPr>
            <w:r w:rsidRPr="00276128">
              <w:t>Account Director </w:t>
            </w:r>
          </w:p>
        </w:tc>
      </w:tr>
      <w:tr w:rsidR="004427DE" w:rsidRPr="00276128" w14:paraId="5CBC60FB" w14:textId="77777777" w:rsidTr="00AD1FC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0949B" w14:textId="77777777" w:rsidR="004427DE" w:rsidRPr="00276128" w:rsidRDefault="004427DE" w:rsidP="004427DE">
            <w:pPr>
              <w:pStyle w:val="BodyCopy"/>
            </w:pPr>
            <w:r w:rsidRPr="00276128">
              <w:t>T: +420 731 613 606    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1C26B" w14:textId="77777777" w:rsidR="004427DE" w:rsidRPr="00276128" w:rsidRDefault="004427DE" w:rsidP="004427DE">
            <w:pPr>
              <w:pStyle w:val="BodyCopy"/>
            </w:pPr>
            <w:r w:rsidRPr="00276128">
              <w:t>T: +420 731 613 609 </w:t>
            </w:r>
          </w:p>
        </w:tc>
      </w:tr>
      <w:tr w:rsidR="004427DE" w:rsidRPr="00276128" w14:paraId="7C4916B6" w14:textId="77777777" w:rsidTr="00AD1FCD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15C6B" w14:textId="77777777" w:rsidR="004427DE" w:rsidRPr="00276128" w:rsidRDefault="004427DE" w:rsidP="004427DE">
            <w:pPr>
              <w:pStyle w:val="BodyCopy"/>
            </w:pPr>
            <w:r w:rsidRPr="00276128">
              <w:t xml:space="preserve">e-mail: </w:t>
            </w:r>
            <w:hyperlink r:id="rId13" w:tgtFrame="_blank" w:history="1">
              <w:r w:rsidRPr="00276128">
                <w:rPr>
                  <w:rStyle w:val="Hypertextovodkaz"/>
                </w:rPr>
                <w:t>denisa.kolarikova@crestcom.cz</w:t>
              </w:r>
            </w:hyperlink>
            <w:r w:rsidRPr="00276128"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34989" w14:textId="77777777" w:rsidR="004427DE" w:rsidRPr="00276128" w:rsidRDefault="004427DE" w:rsidP="004427DE">
            <w:pPr>
              <w:pStyle w:val="BodyCopy"/>
            </w:pPr>
            <w:r w:rsidRPr="00276128">
              <w:t xml:space="preserve">e-mail: </w:t>
            </w:r>
            <w:hyperlink r:id="rId14" w:tgtFrame="_blank" w:history="1">
              <w:r w:rsidRPr="00276128">
                <w:rPr>
                  <w:rStyle w:val="Hypertextovodkaz"/>
                </w:rPr>
                <w:t>kamila.cadkova@crestcom.cz</w:t>
              </w:r>
            </w:hyperlink>
            <w:r w:rsidRPr="00276128">
              <w:t> </w:t>
            </w:r>
          </w:p>
        </w:tc>
      </w:tr>
      <w:tr w:rsidR="004427DE" w:rsidRPr="00276128" w14:paraId="4E020895" w14:textId="77777777" w:rsidTr="00AD1FCD">
        <w:trPr>
          <w:trHeight w:val="6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92D65" w14:textId="77777777" w:rsidR="004427DE" w:rsidRPr="00276128" w:rsidRDefault="004427DE" w:rsidP="004427DE">
            <w:pPr>
              <w:pStyle w:val="BodyCopy"/>
            </w:pPr>
            <w:hyperlink r:id="rId15" w:tgtFrame="_blank" w:history="1">
              <w:r w:rsidRPr="00276128">
                <w:rPr>
                  <w:rStyle w:val="Hypertextovodkaz"/>
                </w:rPr>
                <w:t>www.crestcom.cz</w:t>
              </w:r>
            </w:hyperlink>
            <w:r w:rsidRPr="00276128"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F371C" w14:textId="77777777" w:rsidR="004427DE" w:rsidRPr="00276128" w:rsidRDefault="004427DE" w:rsidP="004427DE">
            <w:pPr>
              <w:pStyle w:val="BodyCopy"/>
            </w:pPr>
            <w:r w:rsidRPr="00276128">
              <w:t> </w:t>
            </w:r>
          </w:p>
        </w:tc>
      </w:tr>
    </w:tbl>
    <w:p w14:paraId="3F102D0C" w14:textId="77777777" w:rsidR="004427DE" w:rsidRPr="00276128" w:rsidRDefault="004427DE" w:rsidP="004427DE">
      <w:pPr>
        <w:pStyle w:val="BodyCopy"/>
      </w:pPr>
      <w:r w:rsidRPr="00276128">
        <w:t> </w:t>
      </w:r>
    </w:p>
    <w:p w14:paraId="6A9CF4EE" w14:textId="77777777" w:rsidR="004427DE" w:rsidRPr="00276128" w:rsidRDefault="004427DE" w:rsidP="004427DE">
      <w:pPr>
        <w:pStyle w:val="BodyCopy"/>
      </w:pPr>
      <w:r w:rsidRPr="00276128">
        <w:rPr>
          <w:b/>
          <w:bCs/>
        </w:rPr>
        <w:t>CBRE </w:t>
      </w:r>
      <w:r w:rsidRPr="00276128">
        <w:t>  </w:t>
      </w:r>
    </w:p>
    <w:p w14:paraId="226D4AEB" w14:textId="77777777" w:rsidR="004427DE" w:rsidRPr="00276128" w:rsidRDefault="004427DE" w:rsidP="004427DE">
      <w:pPr>
        <w:pStyle w:val="BodyCopy"/>
      </w:pPr>
      <w:r w:rsidRPr="00276128">
        <w:t xml:space="preserve">Ivana Procházková, Communication Specialist, +420 771 288 023, </w:t>
      </w:r>
      <w:hyperlink r:id="rId16" w:tgtFrame="_blank" w:history="1">
        <w:r w:rsidRPr="00276128">
          <w:rPr>
            <w:rStyle w:val="Hypertextovodkaz"/>
          </w:rPr>
          <w:t>ivana.prochazkova@cbre.com</w:t>
        </w:r>
      </w:hyperlink>
      <w:r w:rsidRPr="00276128">
        <w:t>    </w:t>
      </w:r>
    </w:p>
    <w:p w14:paraId="55DFE7E5" w14:textId="77777777" w:rsidR="004427DE" w:rsidRPr="00276128" w:rsidRDefault="004427DE" w:rsidP="004427DE">
      <w:pPr>
        <w:pStyle w:val="BodyCopy"/>
      </w:pPr>
      <w:r w:rsidRPr="00276128">
        <w:t>CBRE Česká republika </w:t>
      </w:r>
      <w:hyperlink r:id="rId17" w:tgtFrame="_blank" w:history="1">
        <w:r w:rsidRPr="00276128">
          <w:rPr>
            <w:rStyle w:val="Hypertextovodkaz"/>
          </w:rPr>
          <w:t>Facebook</w:t>
        </w:r>
      </w:hyperlink>
      <w:r w:rsidRPr="00276128">
        <w:t xml:space="preserve">, </w:t>
      </w:r>
      <w:hyperlink r:id="rId18" w:tgtFrame="_blank" w:history="1">
        <w:r w:rsidRPr="00276128">
          <w:rPr>
            <w:rStyle w:val="Hypertextovodkaz"/>
          </w:rPr>
          <w:t>LinkedIn</w:t>
        </w:r>
      </w:hyperlink>
      <w:r w:rsidRPr="00276128">
        <w:rPr>
          <w:u w:val="single"/>
        </w:rPr>
        <w:t>,</w:t>
      </w:r>
      <w:r w:rsidRPr="00276128">
        <w:t xml:space="preserve"> </w:t>
      </w:r>
      <w:hyperlink r:id="rId19" w:tgtFrame="_blank" w:history="1">
        <w:r w:rsidRPr="00276128">
          <w:rPr>
            <w:rStyle w:val="Hypertextovodkaz"/>
          </w:rPr>
          <w:t>Instagram</w:t>
        </w:r>
      </w:hyperlink>
      <w:r w:rsidRPr="00276128">
        <w:rPr>
          <w:b/>
          <w:bCs/>
        </w:rPr>
        <w:t> </w:t>
      </w:r>
      <w:r w:rsidRPr="00276128">
        <w:t>  </w:t>
      </w:r>
    </w:p>
    <w:p w14:paraId="09D023D2" w14:textId="77777777" w:rsidR="004427DE" w:rsidRPr="00276128" w:rsidRDefault="004427DE" w:rsidP="004427DE">
      <w:pPr>
        <w:pStyle w:val="BodyCopy"/>
      </w:pPr>
      <w:r w:rsidRPr="00276128">
        <w:t>  </w:t>
      </w:r>
    </w:p>
    <w:p w14:paraId="10FAEAC9" w14:textId="77777777" w:rsidR="004427DE" w:rsidRPr="00276128" w:rsidRDefault="004427DE" w:rsidP="00605329">
      <w:pPr>
        <w:pStyle w:val="BodyCopy"/>
        <w:jc w:val="both"/>
        <w:rPr>
          <w:rFonts w:ascii="Calibre" w:hAnsi="Calibre"/>
          <w:sz w:val="21"/>
          <w:szCs w:val="21"/>
        </w:rPr>
      </w:pPr>
      <w:r w:rsidRPr="00276128">
        <w:rPr>
          <w:rFonts w:ascii="Calibre" w:hAnsi="Calibre"/>
          <w:sz w:val="21"/>
          <w:szCs w:val="21"/>
          <w:u w:val="single"/>
        </w:rPr>
        <w:t>O CBRE:</w:t>
      </w:r>
      <w:r w:rsidRPr="00276128">
        <w:rPr>
          <w:rFonts w:ascii="Calibre" w:hAnsi="Calibre"/>
          <w:sz w:val="21"/>
          <w:szCs w:val="21"/>
        </w:rPr>
        <w:t>    </w:t>
      </w:r>
    </w:p>
    <w:p w14:paraId="050DDD0B" w14:textId="77777777" w:rsidR="004427DE" w:rsidRPr="00276128" w:rsidRDefault="004427DE" w:rsidP="00605329">
      <w:pPr>
        <w:pStyle w:val="BodyCopy"/>
        <w:jc w:val="both"/>
        <w:rPr>
          <w:rFonts w:ascii="Calibre" w:hAnsi="Calibre"/>
          <w:sz w:val="21"/>
          <w:szCs w:val="21"/>
        </w:rPr>
      </w:pPr>
      <w:r w:rsidRPr="00276128">
        <w:rPr>
          <w:rFonts w:ascii="Calibre" w:hAnsi="Calibre"/>
          <w:sz w:val="21"/>
          <w:szCs w:val="21"/>
        </w:rPr>
        <w:t>CBRE Group, Inc. (NYSE:CBRE), společnost figurující na žebříčku Fortune 500 a indexu S&amp;P 500 se sídlem v Dallasu, je světovým lídrem v oblasti komerčních realitních služeb a investic (z hlediska výnosů za rok 2023). S přibližně 115 000 zaměstnanci (vyjma zaměstnanců společnosti Turner &amp; Townsend) je k dispozici klientům ve 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 téměř 300 zaměstnanci CBRE v České republice spravuje kolem 75 objektů komerčních budov o celkové rozloze cca 1,2 mil. m</w:t>
      </w:r>
      <w:r w:rsidRPr="00276128">
        <w:rPr>
          <w:rFonts w:ascii="Calibre" w:hAnsi="Calibre"/>
          <w:sz w:val="21"/>
          <w:szCs w:val="21"/>
          <w:vertAlign w:val="superscript"/>
        </w:rPr>
        <w:t>2</w:t>
      </w:r>
      <w:r w:rsidRPr="00276128">
        <w:rPr>
          <w:rFonts w:ascii="Calibre" w:hAnsi="Calibre"/>
          <w:sz w:val="21"/>
          <w:szCs w:val="21"/>
        </w:rPr>
        <w:t xml:space="preserve">. Pro více informací navštivte internetové stránky společnosti na </w:t>
      </w:r>
      <w:hyperlink r:id="rId20" w:tgtFrame="_blank" w:history="1">
        <w:r w:rsidRPr="00276128">
          <w:rPr>
            <w:rStyle w:val="Hypertextovodkaz"/>
            <w:rFonts w:ascii="Calibre" w:hAnsi="Calibre"/>
            <w:sz w:val="21"/>
            <w:szCs w:val="21"/>
          </w:rPr>
          <w:t>www.cbre.cz</w:t>
        </w:r>
      </w:hyperlink>
      <w:r w:rsidRPr="00276128">
        <w:rPr>
          <w:rFonts w:ascii="Calibre" w:hAnsi="Calibre"/>
          <w:sz w:val="21"/>
          <w:szCs w:val="21"/>
        </w:rPr>
        <w:t>.   </w:t>
      </w:r>
    </w:p>
    <w:p w14:paraId="55B5E339" w14:textId="77777777" w:rsidR="004427DE" w:rsidRPr="00F85255" w:rsidRDefault="004427DE" w:rsidP="00333651">
      <w:pPr>
        <w:pStyle w:val="BodyCopy"/>
        <w:rPr>
          <w:i/>
          <w:iCs/>
        </w:rPr>
      </w:pPr>
    </w:p>
    <w:sectPr w:rsidR="004427DE" w:rsidRPr="00F85255" w:rsidSect="004B2A4A">
      <w:headerReference w:type="default" r:id="rId21"/>
      <w:headerReference w:type="first" r:id="rId22"/>
      <w:pgSz w:w="12240" w:h="15840"/>
      <w:pgMar w:top="2430" w:right="1080" w:bottom="720" w:left="1080" w:header="17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F07D4" w14:textId="77777777" w:rsidR="00701C51" w:rsidRPr="00276128" w:rsidRDefault="00701C51" w:rsidP="00C63036">
      <w:r w:rsidRPr="00276128">
        <w:separator/>
      </w:r>
    </w:p>
  </w:endnote>
  <w:endnote w:type="continuationSeparator" w:id="0">
    <w:p w14:paraId="0B1E26D0" w14:textId="77777777" w:rsidR="00701C51" w:rsidRPr="00276128" w:rsidRDefault="00701C51" w:rsidP="00C63036">
      <w:r w:rsidRPr="002761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809C" w14:textId="77777777" w:rsidR="00701C51" w:rsidRPr="00276128" w:rsidRDefault="00701C51" w:rsidP="00C63036">
      <w:r w:rsidRPr="00276128">
        <w:separator/>
      </w:r>
    </w:p>
  </w:footnote>
  <w:footnote w:type="continuationSeparator" w:id="0">
    <w:p w14:paraId="6582C7FF" w14:textId="77777777" w:rsidR="00701C51" w:rsidRPr="00276128" w:rsidRDefault="00701C51" w:rsidP="00C63036">
      <w:r w:rsidRPr="002761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EFA8" w14:textId="01774B0A" w:rsidR="00E30CD4" w:rsidRPr="00276128" w:rsidRDefault="00790F17" w:rsidP="0094537E">
    <w:pPr>
      <w:pStyle w:val="Zhlav"/>
      <w:jc w:val="right"/>
    </w:pPr>
    <w:r w:rsidRPr="00276128">
      <w:rPr>
        <w:rFonts w:ascii="Calibre" w:hAnsi="Calibre"/>
        <w:color w:val="003D30" w:themeColor="accent6"/>
        <w:sz w:val="16"/>
      </w:rPr>
      <w:t>C</w:t>
    </w:r>
    <w:r w:rsidR="00E30CD4" w:rsidRPr="00276128">
      <w:rPr>
        <w:rFonts w:ascii="Calibre" w:hAnsi="Calibre"/>
        <w:color w:val="003D30" w:themeColor="accent6"/>
        <w:sz w:val="16"/>
      </w:rPr>
      <w:t xml:space="preserve">BRE </w:t>
    </w:r>
    <w:r w:rsidR="00607BC8" w:rsidRPr="00276128">
      <w:rPr>
        <w:rFonts w:ascii="Calibre" w:hAnsi="Calibre"/>
        <w:color w:val="003D30" w:themeColor="accent6"/>
        <w:sz w:val="16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976E" w14:textId="77777777" w:rsidR="00E30CD4" w:rsidRPr="00276128" w:rsidRDefault="00E30CD4">
    <w:pPr>
      <w:pStyle w:val="Zhlav"/>
    </w:pPr>
    <w:r w:rsidRPr="0027612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1AEA9" wp14:editId="7E667A75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F426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 strokecolor="#003f2d" strokeweight="2.25pt">
              <v:stroke joinstyle="miter"/>
              <w10:wrap anchorx="margin"/>
            </v:line>
          </w:pict>
        </mc:Fallback>
      </mc:AlternateContent>
    </w:r>
    <w:r w:rsidRPr="00276128">
      <w:rPr>
        <w:noProof/>
      </w:rPr>
      <w:drawing>
        <wp:anchor distT="0" distB="0" distL="114300" distR="114300" simplePos="0" relativeHeight="251664384" behindDoc="1" locked="0" layoutInCell="1" allowOverlap="1" wp14:anchorId="3C74DE61" wp14:editId="6A83FD16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6128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912AA1" wp14:editId="301D4312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A2E88C" w14:textId="5EF953CE" w:rsidR="00E30CD4" w:rsidRPr="00276128" w:rsidRDefault="00607BC8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276128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12A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6DA2E88C" w14:textId="5EF953CE" w:rsidR="00E30CD4" w:rsidRPr="00276128" w:rsidRDefault="00607BC8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276128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6686"/>
    <w:multiLevelType w:val="multilevel"/>
    <w:tmpl w:val="E3C8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543050"/>
    <w:multiLevelType w:val="hybridMultilevel"/>
    <w:tmpl w:val="5372A5F0"/>
    <w:lvl w:ilvl="0" w:tplc="872E85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AAF0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BE03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AF246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CACBD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01EDE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8DEA6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C62E4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BBEE9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21A204D6"/>
    <w:multiLevelType w:val="hybridMultilevel"/>
    <w:tmpl w:val="705E4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8BD7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51E17"/>
    <w:multiLevelType w:val="hybridMultilevel"/>
    <w:tmpl w:val="4DF89B0E"/>
    <w:lvl w:ilvl="0" w:tplc="BA9680C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52D9D"/>
    <w:multiLevelType w:val="hybridMultilevel"/>
    <w:tmpl w:val="418A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247E7"/>
    <w:multiLevelType w:val="multilevel"/>
    <w:tmpl w:val="562C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7353F3"/>
    <w:multiLevelType w:val="hybridMultilevel"/>
    <w:tmpl w:val="A9DCF3D6"/>
    <w:lvl w:ilvl="0" w:tplc="795C4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85838"/>
    <w:multiLevelType w:val="multilevel"/>
    <w:tmpl w:val="52B4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9850058">
    <w:abstractNumId w:val="4"/>
  </w:num>
  <w:num w:numId="2" w16cid:durableId="1861314905">
    <w:abstractNumId w:val="6"/>
  </w:num>
  <w:num w:numId="3" w16cid:durableId="2033021624">
    <w:abstractNumId w:val="3"/>
  </w:num>
  <w:num w:numId="4" w16cid:durableId="290987548">
    <w:abstractNumId w:val="1"/>
  </w:num>
  <w:num w:numId="5" w16cid:durableId="1647394086">
    <w:abstractNumId w:val="5"/>
  </w:num>
  <w:num w:numId="6" w16cid:durableId="1441947740">
    <w:abstractNumId w:val="0"/>
  </w:num>
  <w:num w:numId="7" w16cid:durableId="1596942064">
    <w:abstractNumId w:val="7"/>
  </w:num>
  <w:num w:numId="8" w16cid:durableId="1186748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AD"/>
    <w:rsid w:val="00000618"/>
    <w:rsid w:val="00002F8F"/>
    <w:rsid w:val="00003B8F"/>
    <w:rsid w:val="000051C8"/>
    <w:rsid w:val="000060F0"/>
    <w:rsid w:val="00006E91"/>
    <w:rsid w:val="0001579E"/>
    <w:rsid w:val="000160A0"/>
    <w:rsid w:val="0001633D"/>
    <w:rsid w:val="00017A2D"/>
    <w:rsid w:val="00020D11"/>
    <w:rsid w:val="000210BD"/>
    <w:rsid w:val="0002350E"/>
    <w:rsid w:val="000300D5"/>
    <w:rsid w:val="00031661"/>
    <w:rsid w:val="0003500F"/>
    <w:rsid w:val="000409B8"/>
    <w:rsid w:val="00041106"/>
    <w:rsid w:val="00042169"/>
    <w:rsid w:val="00042DA7"/>
    <w:rsid w:val="00043F8E"/>
    <w:rsid w:val="00047C36"/>
    <w:rsid w:val="00053192"/>
    <w:rsid w:val="00055A0F"/>
    <w:rsid w:val="000572C5"/>
    <w:rsid w:val="00061034"/>
    <w:rsid w:val="00061E61"/>
    <w:rsid w:val="00064B63"/>
    <w:rsid w:val="00065F36"/>
    <w:rsid w:val="00072D72"/>
    <w:rsid w:val="00073689"/>
    <w:rsid w:val="00083B6E"/>
    <w:rsid w:val="00085778"/>
    <w:rsid w:val="00086000"/>
    <w:rsid w:val="00087C05"/>
    <w:rsid w:val="000900FE"/>
    <w:rsid w:val="00094BAA"/>
    <w:rsid w:val="000954D3"/>
    <w:rsid w:val="00097965"/>
    <w:rsid w:val="000A075F"/>
    <w:rsid w:val="000A49A4"/>
    <w:rsid w:val="000A542D"/>
    <w:rsid w:val="000B6295"/>
    <w:rsid w:val="000B642B"/>
    <w:rsid w:val="000C28F1"/>
    <w:rsid w:val="000C4059"/>
    <w:rsid w:val="000C46D2"/>
    <w:rsid w:val="000C5820"/>
    <w:rsid w:val="000C5ABF"/>
    <w:rsid w:val="000C5BA9"/>
    <w:rsid w:val="000C6C0B"/>
    <w:rsid w:val="000C7040"/>
    <w:rsid w:val="000C7BDE"/>
    <w:rsid w:val="000D0893"/>
    <w:rsid w:val="000D1155"/>
    <w:rsid w:val="000D153D"/>
    <w:rsid w:val="000D3020"/>
    <w:rsid w:val="000E2252"/>
    <w:rsid w:val="000E3EC9"/>
    <w:rsid w:val="000F038E"/>
    <w:rsid w:val="00107912"/>
    <w:rsid w:val="00107BBC"/>
    <w:rsid w:val="00111DB2"/>
    <w:rsid w:val="001131BA"/>
    <w:rsid w:val="0011638B"/>
    <w:rsid w:val="00116B54"/>
    <w:rsid w:val="001236E0"/>
    <w:rsid w:val="001300F4"/>
    <w:rsid w:val="00131D20"/>
    <w:rsid w:val="00136C3A"/>
    <w:rsid w:val="0013743F"/>
    <w:rsid w:val="00140E0A"/>
    <w:rsid w:val="001458C7"/>
    <w:rsid w:val="0014590A"/>
    <w:rsid w:val="00151AD8"/>
    <w:rsid w:val="001520C1"/>
    <w:rsid w:val="00157032"/>
    <w:rsid w:val="00162C07"/>
    <w:rsid w:val="00163EFA"/>
    <w:rsid w:val="001760A1"/>
    <w:rsid w:val="0017707A"/>
    <w:rsid w:val="00177C79"/>
    <w:rsid w:val="0019216D"/>
    <w:rsid w:val="001937CC"/>
    <w:rsid w:val="001A0518"/>
    <w:rsid w:val="001A2316"/>
    <w:rsid w:val="001A280B"/>
    <w:rsid w:val="001A4E51"/>
    <w:rsid w:val="001B0FFE"/>
    <w:rsid w:val="001B7FD1"/>
    <w:rsid w:val="001C30E4"/>
    <w:rsid w:val="001C3542"/>
    <w:rsid w:val="001C651A"/>
    <w:rsid w:val="001C6E6A"/>
    <w:rsid w:val="001C6FD8"/>
    <w:rsid w:val="001C7A8E"/>
    <w:rsid w:val="001D0CE5"/>
    <w:rsid w:val="001D2195"/>
    <w:rsid w:val="001D48C8"/>
    <w:rsid w:val="001D66D6"/>
    <w:rsid w:val="001E0021"/>
    <w:rsid w:val="001E01E3"/>
    <w:rsid w:val="001E568F"/>
    <w:rsid w:val="001F1E7D"/>
    <w:rsid w:val="002008B8"/>
    <w:rsid w:val="00200B34"/>
    <w:rsid w:val="00200F6E"/>
    <w:rsid w:val="00201469"/>
    <w:rsid w:val="00203DD4"/>
    <w:rsid w:val="00213819"/>
    <w:rsid w:val="00214804"/>
    <w:rsid w:val="002201E3"/>
    <w:rsid w:val="0023126F"/>
    <w:rsid w:val="00233B6F"/>
    <w:rsid w:val="0024756C"/>
    <w:rsid w:val="00255733"/>
    <w:rsid w:val="00262BA0"/>
    <w:rsid w:val="00271290"/>
    <w:rsid w:val="00274462"/>
    <w:rsid w:val="00275BE8"/>
    <w:rsid w:val="00275F45"/>
    <w:rsid w:val="00276128"/>
    <w:rsid w:val="00276BEA"/>
    <w:rsid w:val="00277BA5"/>
    <w:rsid w:val="00280100"/>
    <w:rsid w:val="00280601"/>
    <w:rsid w:val="00284BBD"/>
    <w:rsid w:val="00293CE1"/>
    <w:rsid w:val="0029645F"/>
    <w:rsid w:val="00297018"/>
    <w:rsid w:val="002A0509"/>
    <w:rsid w:val="002A1004"/>
    <w:rsid w:val="002A38EF"/>
    <w:rsid w:val="002A7798"/>
    <w:rsid w:val="002B016C"/>
    <w:rsid w:val="002B16AE"/>
    <w:rsid w:val="002B1B1A"/>
    <w:rsid w:val="002B4320"/>
    <w:rsid w:val="002B7CB9"/>
    <w:rsid w:val="002C3FF7"/>
    <w:rsid w:val="002C726A"/>
    <w:rsid w:val="002C751B"/>
    <w:rsid w:val="002D43C6"/>
    <w:rsid w:val="002D7B12"/>
    <w:rsid w:val="002E0225"/>
    <w:rsid w:val="002E2B8B"/>
    <w:rsid w:val="002E3D27"/>
    <w:rsid w:val="002E7282"/>
    <w:rsid w:val="002F4296"/>
    <w:rsid w:val="002F6B08"/>
    <w:rsid w:val="00301EFD"/>
    <w:rsid w:val="003027F0"/>
    <w:rsid w:val="00303571"/>
    <w:rsid w:val="003072EA"/>
    <w:rsid w:val="003112B0"/>
    <w:rsid w:val="00311EE5"/>
    <w:rsid w:val="0031445F"/>
    <w:rsid w:val="003153C6"/>
    <w:rsid w:val="00320A11"/>
    <w:rsid w:val="00327060"/>
    <w:rsid w:val="0032771A"/>
    <w:rsid w:val="00333651"/>
    <w:rsid w:val="00333916"/>
    <w:rsid w:val="00334F8D"/>
    <w:rsid w:val="00337D7D"/>
    <w:rsid w:val="00340476"/>
    <w:rsid w:val="00340F34"/>
    <w:rsid w:val="003429CB"/>
    <w:rsid w:val="003476EE"/>
    <w:rsid w:val="00353CFF"/>
    <w:rsid w:val="00354144"/>
    <w:rsid w:val="00355265"/>
    <w:rsid w:val="003555AF"/>
    <w:rsid w:val="00361259"/>
    <w:rsid w:val="00362120"/>
    <w:rsid w:val="003642D5"/>
    <w:rsid w:val="00364ACC"/>
    <w:rsid w:val="00364D9D"/>
    <w:rsid w:val="00365876"/>
    <w:rsid w:val="003672A4"/>
    <w:rsid w:val="0036733B"/>
    <w:rsid w:val="00370024"/>
    <w:rsid w:val="00375008"/>
    <w:rsid w:val="0037702B"/>
    <w:rsid w:val="00387706"/>
    <w:rsid w:val="003945A2"/>
    <w:rsid w:val="003A36D9"/>
    <w:rsid w:val="003A434C"/>
    <w:rsid w:val="003A53B5"/>
    <w:rsid w:val="003A541C"/>
    <w:rsid w:val="003A6346"/>
    <w:rsid w:val="003B0F5E"/>
    <w:rsid w:val="003B44F1"/>
    <w:rsid w:val="003B59C4"/>
    <w:rsid w:val="003C0CC7"/>
    <w:rsid w:val="003D0738"/>
    <w:rsid w:val="003D2B00"/>
    <w:rsid w:val="003D2BF9"/>
    <w:rsid w:val="003D7E8F"/>
    <w:rsid w:val="003E3915"/>
    <w:rsid w:val="003F42F0"/>
    <w:rsid w:val="00401F3A"/>
    <w:rsid w:val="004023EE"/>
    <w:rsid w:val="00411DA4"/>
    <w:rsid w:val="00415EF6"/>
    <w:rsid w:val="0041668A"/>
    <w:rsid w:val="00420BD5"/>
    <w:rsid w:val="00423451"/>
    <w:rsid w:val="004237D1"/>
    <w:rsid w:val="00431873"/>
    <w:rsid w:val="00435D10"/>
    <w:rsid w:val="004427DE"/>
    <w:rsid w:val="004434A3"/>
    <w:rsid w:val="00444B4D"/>
    <w:rsid w:val="00452819"/>
    <w:rsid w:val="004539B1"/>
    <w:rsid w:val="004567DF"/>
    <w:rsid w:val="004576AF"/>
    <w:rsid w:val="00461BC8"/>
    <w:rsid w:val="00464CB3"/>
    <w:rsid w:val="0046575D"/>
    <w:rsid w:val="00465B78"/>
    <w:rsid w:val="004669D2"/>
    <w:rsid w:val="0046784D"/>
    <w:rsid w:val="0047257A"/>
    <w:rsid w:val="00472F29"/>
    <w:rsid w:val="00477874"/>
    <w:rsid w:val="00487F8C"/>
    <w:rsid w:val="00495249"/>
    <w:rsid w:val="004960B4"/>
    <w:rsid w:val="004A272D"/>
    <w:rsid w:val="004A5D7F"/>
    <w:rsid w:val="004A627A"/>
    <w:rsid w:val="004B1B59"/>
    <w:rsid w:val="004B2A2E"/>
    <w:rsid w:val="004B2A4A"/>
    <w:rsid w:val="004B739F"/>
    <w:rsid w:val="004C11F4"/>
    <w:rsid w:val="004C308A"/>
    <w:rsid w:val="004C3707"/>
    <w:rsid w:val="004C4C0A"/>
    <w:rsid w:val="004C686A"/>
    <w:rsid w:val="004C749C"/>
    <w:rsid w:val="004D7ED5"/>
    <w:rsid w:val="004E0EF8"/>
    <w:rsid w:val="004E5CC6"/>
    <w:rsid w:val="004E6355"/>
    <w:rsid w:val="004E6BBF"/>
    <w:rsid w:val="004F46E2"/>
    <w:rsid w:val="004F7F22"/>
    <w:rsid w:val="005018FC"/>
    <w:rsid w:val="00505595"/>
    <w:rsid w:val="00506119"/>
    <w:rsid w:val="0050747F"/>
    <w:rsid w:val="00507940"/>
    <w:rsid w:val="00510BD2"/>
    <w:rsid w:val="0051203F"/>
    <w:rsid w:val="00515372"/>
    <w:rsid w:val="00530072"/>
    <w:rsid w:val="00530F86"/>
    <w:rsid w:val="00533E87"/>
    <w:rsid w:val="00537020"/>
    <w:rsid w:val="005374D2"/>
    <w:rsid w:val="00542BFA"/>
    <w:rsid w:val="00546DB6"/>
    <w:rsid w:val="0054772F"/>
    <w:rsid w:val="00551258"/>
    <w:rsid w:val="00552462"/>
    <w:rsid w:val="00554FEE"/>
    <w:rsid w:val="005561DD"/>
    <w:rsid w:val="00556CBB"/>
    <w:rsid w:val="005623F8"/>
    <w:rsid w:val="00566701"/>
    <w:rsid w:val="005674A0"/>
    <w:rsid w:val="00571A20"/>
    <w:rsid w:val="0057299D"/>
    <w:rsid w:val="00572B69"/>
    <w:rsid w:val="00581F7A"/>
    <w:rsid w:val="0058328B"/>
    <w:rsid w:val="005845C0"/>
    <w:rsid w:val="00585DCD"/>
    <w:rsid w:val="005864F9"/>
    <w:rsid w:val="005903E1"/>
    <w:rsid w:val="00593698"/>
    <w:rsid w:val="00593C10"/>
    <w:rsid w:val="0059494B"/>
    <w:rsid w:val="005A1668"/>
    <w:rsid w:val="005A237A"/>
    <w:rsid w:val="005A4E5C"/>
    <w:rsid w:val="005A6BB7"/>
    <w:rsid w:val="005B04E9"/>
    <w:rsid w:val="005B0D09"/>
    <w:rsid w:val="005B18C9"/>
    <w:rsid w:val="005B65B6"/>
    <w:rsid w:val="005B6BBF"/>
    <w:rsid w:val="005B6DBF"/>
    <w:rsid w:val="005C1891"/>
    <w:rsid w:val="005C1A1E"/>
    <w:rsid w:val="005C2B9C"/>
    <w:rsid w:val="005C4D17"/>
    <w:rsid w:val="005C7DAF"/>
    <w:rsid w:val="005D0148"/>
    <w:rsid w:val="005D0390"/>
    <w:rsid w:val="005D1442"/>
    <w:rsid w:val="005D209F"/>
    <w:rsid w:val="005D54CA"/>
    <w:rsid w:val="005D6BDC"/>
    <w:rsid w:val="005D7132"/>
    <w:rsid w:val="005E0702"/>
    <w:rsid w:val="005E2C93"/>
    <w:rsid w:val="005E3242"/>
    <w:rsid w:val="005E3C08"/>
    <w:rsid w:val="005E426A"/>
    <w:rsid w:val="005E7039"/>
    <w:rsid w:val="005F1B09"/>
    <w:rsid w:val="005F1DE5"/>
    <w:rsid w:val="005F2038"/>
    <w:rsid w:val="005F7F99"/>
    <w:rsid w:val="00601627"/>
    <w:rsid w:val="0060230B"/>
    <w:rsid w:val="00605310"/>
    <w:rsid w:val="00605329"/>
    <w:rsid w:val="00607BC8"/>
    <w:rsid w:val="00610807"/>
    <w:rsid w:val="00612BCA"/>
    <w:rsid w:val="0061455A"/>
    <w:rsid w:val="006160A8"/>
    <w:rsid w:val="00616DC3"/>
    <w:rsid w:val="00617D90"/>
    <w:rsid w:val="00620AAF"/>
    <w:rsid w:val="0062190B"/>
    <w:rsid w:val="00624FD4"/>
    <w:rsid w:val="00625311"/>
    <w:rsid w:val="006268F4"/>
    <w:rsid w:val="0062769F"/>
    <w:rsid w:val="00630A9F"/>
    <w:rsid w:val="0063267C"/>
    <w:rsid w:val="00633712"/>
    <w:rsid w:val="006351A8"/>
    <w:rsid w:val="006451BD"/>
    <w:rsid w:val="0064541B"/>
    <w:rsid w:val="0064700E"/>
    <w:rsid w:val="00651E1D"/>
    <w:rsid w:val="0065401E"/>
    <w:rsid w:val="00664E91"/>
    <w:rsid w:val="006654EF"/>
    <w:rsid w:val="00670A4C"/>
    <w:rsid w:val="006738F2"/>
    <w:rsid w:val="00674548"/>
    <w:rsid w:val="006761E0"/>
    <w:rsid w:val="00677270"/>
    <w:rsid w:val="00680869"/>
    <w:rsid w:val="006840EE"/>
    <w:rsid w:val="006853FD"/>
    <w:rsid w:val="00685808"/>
    <w:rsid w:val="006872E0"/>
    <w:rsid w:val="0068797C"/>
    <w:rsid w:val="00690DBA"/>
    <w:rsid w:val="00694A49"/>
    <w:rsid w:val="00694F42"/>
    <w:rsid w:val="006A0EEA"/>
    <w:rsid w:val="006A33FB"/>
    <w:rsid w:val="006A4A07"/>
    <w:rsid w:val="006A5A8D"/>
    <w:rsid w:val="006A6135"/>
    <w:rsid w:val="006A7E89"/>
    <w:rsid w:val="006B07E9"/>
    <w:rsid w:val="006B3D2C"/>
    <w:rsid w:val="006B40A1"/>
    <w:rsid w:val="006B5B87"/>
    <w:rsid w:val="006C1825"/>
    <w:rsid w:val="006C7FD4"/>
    <w:rsid w:val="006D0F83"/>
    <w:rsid w:val="006E0DDF"/>
    <w:rsid w:val="006E2075"/>
    <w:rsid w:val="006E7ABB"/>
    <w:rsid w:val="006F2121"/>
    <w:rsid w:val="006F2204"/>
    <w:rsid w:val="006F2F38"/>
    <w:rsid w:val="006F384C"/>
    <w:rsid w:val="006F4CC0"/>
    <w:rsid w:val="00701C51"/>
    <w:rsid w:val="00707207"/>
    <w:rsid w:val="00707376"/>
    <w:rsid w:val="00714133"/>
    <w:rsid w:val="0071780E"/>
    <w:rsid w:val="00722C2A"/>
    <w:rsid w:val="00731024"/>
    <w:rsid w:val="0073408B"/>
    <w:rsid w:val="00736F66"/>
    <w:rsid w:val="00737D98"/>
    <w:rsid w:val="00742D8F"/>
    <w:rsid w:val="00743EC2"/>
    <w:rsid w:val="00746BFC"/>
    <w:rsid w:val="007520C3"/>
    <w:rsid w:val="00757A9D"/>
    <w:rsid w:val="00765598"/>
    <w:rsid w:val="00767C00"/>
    <w:rsid w:val="0077529D"/>
    <w:rsid w:val="007855C0"/>
    <w:rsid w:val="00790F17"/>
    <w:rsid w:val="00791D9E"/>
    <w:rsid w:val="00792408"/>
    <w:rsid w:val="0079550E"/>
    <w:rsid w:val="007A0E16"/>
    <w:rsid w:val="007A1333"/>
    <w:rsid w:val="007A29ED"/>
    <w:rsid w:val="007A7D89"/>
    <w:rsid w:val="007B19C9"/>
    <w:rsid w:val="007B1E5B"/>
    <w:rsid w:val="007B40F7"/>
    <w:rsid w:val="007C27D0"/>
    <w:rsid w:val="007C3FBD"/>
    <w:rsid w:val="007C42AD"/>
    <w:rsid w:val="007C44F6"/>
    <w:rsid w:val="007C67F2"/>
    <w:rsid w:val="007D229F"/>
    <w:rsid w:val="007D30DD"/>
    <w:rsid w:val="007D51A8"/>
    <w:rsid w:val="007E236C"/>
    <w:rsid w:val="007E5470"/>
    <w:rsid w:val="007E5ACD"/>
    <w:rsid w:val="007F1287"/>
    <w:rsid w:val="007F4A3F"/>
    <w:rsid w:val="007F53DE"/>
    <w:rsid w:val="00804E5B"/>
    <w:rsid w:val="0081166F"/>
    <w:rsid w:val="00813331"/>
    <w:rsid w:val="00813781"/>
    <w:rsid w:val="00823FFA"/>
    <w:rsid w:val="00824024"/>
    <w:rsid w:val="008266F7"/>
    <w:rsid w:val="00830674"/>
    <w:rsid w:val="00831576"/>
    <w:rsid w:val="0083525D"/>
    <w:rsid w:val="008455AA"/>
    <w:rsid w:val="0084782C"/>
    <w:rsid w:val="0085295E"/>
    <w:rsid w:val="00856AB9"/>
    <w:rsid w:val="008646CA"/>
    <w:rsid w:val="00870EFE"/>
    <w:rsid w:val="008719C1"/>
    <w:rsid w:val="00871C73"/>
    <w:rsid w:val="008730F4"/>
    <w:rsid w:val="00875ED3"/>
    <w:rsid w:val="00886CC6"/>
    <w:rsid w:val="00891B0B"/>
    <w:rsid w:val="0089296D"/>
    <w:rsid w:val="008A1F72"/>
    <w:rsid w:val="008A4266"/>
    <w:rsid w:val="008A693E"/>
    <w:rsid w:val="008B415C"/>
    <w:rsid w:val="008B5165"/>
    <w:rsid w:val="008B5FBF"/>
    <w:rsid w:val="008B6AE1"/>
    <w:rsid w:val="008C0788"/>
    <w:rsid w:val="008C0908"/>
    <w:rsid w:val="008C523A"/>
    <w:rsid w:val="008D0AE9"/>
    <w:rsid w:val="008D3A84"/>
    <w:rsid w:val="008E1AED"/>
    <w:rsid w:val="008E30E8"/>
    <w:rsid w:val="008E5B8E"/>
    <w:rsid w:val="008E7131"/>
    <w:rsid w:val="008F05F9"/>
    <w:rsid w:val="008F1D24"/>
    <w:rsid w:val="008F4915"/>
    <w:rsid w:val="008F4E12"/>
    <w:rsid w:val="008F5A0C"/>
    <w:rsid w:val="008F65E2"/>
    <w:rsid w:val="008F772B"/>
    <w:rsid w:val="00904593"/>
    <w:rsid w:val="00904FEF"/>
    <w:rsid w:val="00907900"/>
    <w:rsid w:val="0091072C"/>
    <w:rsid w:val="00912166"/>
    <w:rsid w:val="00920050"/>
    <w:rsid w:val="00920BAB"/>
    <w:rsid w:val="00920F84"/>
    <w:rsid w:val="00922D72"/>
    <w:rsid w:val="00924314"/>
    <w:rsid w:val="00925FFF"/>
    <w:rsid w:val="00927092"/>
    <w:rsid w:val="00927596"/>
    <w:rsid w:val="00934396"/>
    <w:rsid w:val="00937BA6"/>
    <w:rsid w:val="00940CE3"/>
    <w:rsid w:val="0094537E"/>
    <w:rsid w:val="00952169"/>
    <w:rsid w:val="0095600E"/>
    <w:rsid w:val="009572CA"/>
    <w:rsid w:val="00960B28"/>
    <w:rsid w:val="00964152"/>
    <w:rsid w:val="009647A1"/>
    <w:rsid w:val="00967D12"/>
    <w:rsid w:val="00970A02"/>
    <w:rsid w:val="00973776"/>
    <w:rsid w:val="0097417C"/>
    <w:rsid w:val="00975979"/>
    <w:rsid w:val="00981334"/>
    <w:rsid w:val="009825C0"/>
    <w:rsid w:val="00984E01"/>
    <w:rsid w:val="00986E5E"/>
    <w:rsid w:val="00990AB2"/>
    <w:rsid w:val="009A2688"/>
    <w:rsid w:val="009A2BF6"/>
    <w:rsid w:val="009A3B1E"/>
    <w:rsid w:val="009A66C4"/>
    <w:rsid w:val="009B451E"/>
    <w:rsid w:val="009B4F34"/>
    <w:rsid w:val="009B52AC"/>
    <w:rsid w:val="009C08D6"/>
    <w:rsid w:val="009D1231"/>
    <w:rsid w:val="009D1324"/>
    <w:rsid w:val="009D73A6"/>
    <w:rsid w:val="009E546C"/>
    <w:rsid w:val="009E61EF"/>
    <w:rsid w:val="009E7677"/>
    <w:rsid w:val="009F4C28"/>
    <w:rsid w:val="009F514B"/>
    <w:rsid w:val="009F661D"/>
    <w:rsid w:val="009F7E8F"/>
    <w:rsid w:val="00A04B2B"/>
    <w:rsid w:val="00A121C3"/>
    <w:rsid w:val="00A12F9A"/>
    <w:rsid w:val="00A13219"/>
    <w:rsid w:val="00A14E45"/>
    <w:rsid w:val="00A15C2E"/>
    <w:rsid w:val="00A212D2"/>
    <w:rsid w:val="00A250CB"/>
    <w:rsid w:val="00A261D1"/>
    <w:rsid w:val="00A26BF0"/>
    <w:rsid w:val="00A30278"/>
    <w:rsid w:val="00A30F36"/>
    <w:rsid w:val="00A4001F"/>
    <w:rsid w:val="00A57E49"/>
    <w:rsid w:val="00A63D35"/>
    <w:rsid w:val="00A642EC"/>
    <w:rsid w:val="00A667E3"/>
    <w:rsid w:val="00A703C7"/>
    <w:rsid w:val="00A705E6"/>
    <w:rsid w:val="00A71B8E"/>
    <w:rsid w:val="00A7587B"/>
    <w:rsid w:val="00A828F1"/>
    <w:rsid w:val="00A8392F"/>
    <w:rsid w:val="00A85621"/>
    <w:rsid w:val="00A87C98"/>
    <w:rsid w:val="00A90A3A"/>
    <w:rsid w:val="00A916FD"/>
    <w:rsid w:val="00A93636"/>
    <w:rsid w:val="00AA247D"/>
    <w:rsid w:val="00AA4E69"/>
    <w:rsid w:val="00AA53CA"/>
    <w:rsid w:val="00AA68C8"/>
    <w:rsid w:val="00AA72CC"/>
    <w:rsid w:val="00AA7D23"/>
    <w:rsid w:val="00AB0F7F"/>
    <w:rsid w:val="00AB34B8"/>
    <w:rsid w:val="00AC05B7"/>
    <w:rsid w:val="00AC07CF"/>
    <w:rsid w:val="00AC3224"/>
    <w:rsid w:val="00AC4CFC"/>
    <w:rsid w:val="00AD1FCD"/>
    <w:rsid w:val="00AD56B6"/>
    <w:rsid w:val="00AD6756"/>
    <w:rsid w:val="00AE06E6"/>
    <w:rsid w:val="00AE0ADE"/>
    <w:rsid w:val="00AE0EF6"/>
    <w:rsid w:val="00AE216B"/>
    <w:rsid w:val="00AE2449"/>
    <w:rsid w:val="00AE4BFB"/>
    <w:rsid w:val="00AE61DF"/>
    <w:rsid w:val="00AE6554"/>
    <w:rsid w:val="00AF2412"/>
    <w:rsid w:val="00AF2EBE"/>
    <w:rsid w:val="00AF3C11"/>
    <w:rsid w:val="00AF538F"/>
    <w:rsid w:val="00AF5BA2"/>
    <w:rsid w:val="00AF5EF6"/>
    <w:rsid w:val="00B0183F"/>
    <w:rsid w:val="00B03C06"/>
    <w:rsid w:val="00B074CE"/>
    <w:rsid w:val="00B11D32"/>
    <w:rsid w:val="00B1211F"/>
    <w:rsid w:val="00B14D94"/>
    <w:rsid w:val="00B15901"/>
    <w:rsid w:val="00B210FE"/>
    <w:rsid w:val="00B24BE4"/>
    <w:rsid w:val="00B2605C"/>
    <w:rsid w:val="00B3290B"/>
    <w:rsid w:val="00B35650"/>
    <w:rsid w:val="00B45298"/>
    <w:rsid w:val="00B47F2A"/>
    <w:rsid w:val="00B50087"/>
    <w:rsid w:val="00B5069F"/>
    <w:rsid w:val="00B5103F"/>
    <w:rsid w:val="00B51301"/>
    <w:rsid w:val="00B52BF3"/>
    <w:rsid w:val="00B53C9A"/>
    <w:rsid w:val="00B61266"/>
    <w:rsid w:val="00B627CE"/>
    <w:rsid w:val="00B6628C"/>
    <w:rsid w:val="00B702D1"/>
    <w:rsid w:val="00B721CD"/>
    <w:rsid w:val="00B7287B"/>
    <w:rsid w:val="00B731D4"/>
    <w:rsid w:val="00B736E0"/>
    <w:rsid w:val="00B740F0"/>
    <w:rsid w:val="00B75B00"/>
    <w:rsid w:val="00B80B6F"/>
    <w:rsid w:val="00B90463"/>
    <w:rsid w:val="00B927BD"/>
    <w:rsid w:val="00B93689"/>
    <w:rsid w:val="00B94BB7"/>
    <w:rsid w:val="00BA314C"/>
    <w:rsid w:val="00BA7EBC"/>
    <w:rsid w:val="00BB0E9C"/>
    <w:rsid w:val="00BB754F"/>
    <w:rsid w:val="00BB75AD"/>
    <w:rsid w:val="00BC2E7C"/>
    <w:rsid w:val="00BC4CF9"/>
    <w:rsid w:val="00BC727C"/>
    <w:rsid w:val="00BC730A"/>
    <w:rsid w:val="00BD1A58"/>
    <w:rsid w:val="00BD49F1"/>
    <w:rsid w:val="00BE4C4F"/>
    <w:rsid w:val="00BE7B6E"/>
    <w:rsid w:val="00BF2B25"/>
    <w:rsid w:val="00BF3F7A"/>
    <w:rsid w:val="00BF5339"/>
    <w:rsid w:val="00BF6316"/>
    <w:rsid w:val="00BF7463"/>
    <w:rsid w:val="00C004C3"/>
    <w:rsid w:val="00C02F07"/>
    <w:rsid w:val="00C13B26"/>
    <w:rsid w:val="00C14758"/>
    <w:rsid w:val="00C148C1"/>
    <w:rsid w:val="00C15890"/>
    <w:rsid w:val="00C228CF"/>
    <w:rsid w:val="00C240AC"/>
    <w:rsid w:val="00C26AA1"/>
    <w:rsid w:val="00C27977"/>
    <w:rsid w:val="00C313FB"/>
    <w:rsid w:val="00C35591"/>
    <w:rsid w:val="00C35840"/>
    <w:rsid w:val="00C36015"/>
    <w:rsid w:val="00C36C83"/>
    <w:rsid w:val="00C37B40"/>
    <w:rsid w:val="00C410D8"/>
    <w:rsid w:val="00C437C6"/>
    <w:rsid w:val="00C452C9"/>
    <w:rsid w:val="00C47CE8"/>
    <w:rsid w:val="00C51F31"/>
    <w:rsid w:val="00C56AC3"/>
    <w:rsid w:val="00C57BB4"/>
    <w:rsid w:val="00C63036"/>
    <w:rsid w:val="00C65190"/>
    <w:rsid w:val="00C679E2"/>
    <w:rsid w:val="00C72FB3"/>
    <w:rsid w:val="00C74A2A"/>
    <w:rsid w:val="00C80365"/>
    <w:rsid w:val="00C83208"/>
    <w:rsid w:val="00C8593C"/>
    <w:rsid w:val="00CA3A74"/>
    <w:rsid w:val="00CA6F95"/>
    <w:rsid w:val="00CB35AF"/>
    <w:rsid w:val="00CB460E"/>
    <w:rsid w:val="00CB4DF4"/>
    <w:rsid w:val="00CB7A4F"/>
    <w:rsid w:val="00CC6EA7"/>
    <w:rsid w:val="00CD4FBB"/>
    <w:rsid w:val="00CF3E51"/>
    <w:rsid w:val="00D01B9D"/>
    <w:rsid w:val="00D05108"/>
    <w:rsid w:val="00D14239"/>
    <w:rsid w:val="00D15FA3"/>
    <w:rsid w:val="00D20027"/>
    <w:rsid w:val="00D21093"/>
    <w:rsid w:val="00D21E03"/>
    <w:rsid w:val="00D253C5"/>
    <w:rsid w:val="00D27836"/>
    <w:rsid w:val="00D3178C"/>
    <w:rsid w:val="00D32324"/>
    <w:rsid w:val="00D3265E"/>
    <w:rsid w:val="00D32F37"/>
    <w:rsid w:val="00D449F5"/>
    <w:rsid w:val="00D517F9"/>
    <w:rsid w:val="00D5426E"/>
    <w:rsid w:val="00D54CE5"/>
    <w:rsid w:val="00D57A29"/>
    <w:rsid w:val="00D57C38"/>
    <w:rsid w:val="00D6004C"/>
    <w:rsid w:val="00D60BFE"/>
    <w:rsid w:val="00D6395E"/>
    <w:rsid w:val="00D67077"/>
    <w:rsid w:val="00D67169"/>
    <w:rsid w:val="00D70465"/>
    <w:rsid w:val="00D74693"/>
    <w:rsid w:val="00D76255"/>
    <w:rsid w:val="00D83F79"/>
    <w:rsid w:val="00D84047"/>
    <w:rsid w:val="00D8631A"/>
    <w:rsid w:val="00D90F65"/>
    <w:rsid w:val="00D934DF"/>
    <w:rsid w:val="00D94AE7"/>
    <w:rsid w:val="00D96345"/>
    <w:rsid w:val="00DA73AB"/>
    <w:rsid w:val="00DB1F6D"/>
    <w:rsid w:val="00DB6576"/>
    <w:rsid w:val="00DC0226"/>
    <w:rsid w:val="00DC6551"/>
    <w:rsid w:val="00DD13D1"/>
    <w:rsid w:val="00DD215C"/>
    <w:rsid w:val="00DD5727"/>
    <w:rsid w:val="00DD5DA3"/>
    <w:rsid w:val="00DD660A"/>
    <w:rsid w:val="00DE164E"/>
    <w:rsid w:val="00DE1884"/>
    <w:rsid w:val="00DE30B2"/>
    <w:rsid w:val="00DE5953"/>
    <w:rsid w:val="00DF14B3"/>
    <w:rsid w:val="00DF3823"/>
    <w:rsid w:val="00DF56EE"/>
    <w:rsid w:val="00DF6415"/>
    <w:rsid w:val="00DF7F5B"/>
    <w:rsid w:val="00E017B7"/>
    <w:rsid w:val="00E01C37"/>
    <w:rsid w:val="00E02087"/>
    <w:rsid w:val="00E0582A"/>
    <w:rsid w:val="00E07C70"/>
    <w:rsid w:val="00E10C03"/>
    <w:rsid w:val="00E11D59"/>
    <w:rsid w:val="00E14E0D"/>
    <w:rsid w:val="00E21264"/>
    <w:rsid w:val="00E2340D"/>
    <w:rsid w:val="00E30CD4"/>
    <w:rsid w:val="00E352AB"/>
    <w:rsid w:val="00E3704D"/>
    <w:rsid w:val="00E4060F"/>
    <w:rsid w:val="00E42949"/>
    <w:rsid w:val="00E43A76"/>
    <w:rsid w:val="00E43D88"/>
    <w:rsid w:val="00E5352D"/>
    <w:rsid w:val="00E53CA1"/>
    <w:rsid w:val="00E61815"/>
    <w:rsid w:val="00E62B6A"/>
    <w:rsid w:val="00E633C0"/>
    <w:rsid w:val="00E642AF"/>
    <w:rsid w:val="00E64E03"/>
    <w:rsid w:val="00E65B57"/>
    <w:rsid w:val="00E65F35"/>
    <w:rsid w:val="00E67E07"/>
    <w:rsid w:val="00E7312A"/>
    <w:rsid w:val="00E73245"/>
    <w:rsid w:val="00E77777"/>
    <w:rsid w:val="00E77A43"/>
    <w:rsid w:val="00E80A8C"/>
    <w:rsid w:val="00E8126E"/>
    <w:rsid w:val="00E83970"/>
    <w:rsid w:val="00E8799D"/>
    <w:rsid w:val="00E9109B"/>
    <w:rsid w:val="00E92D0F"/>
    <w:rsid w:val="00E94242"/>
    <w:rsid w:val="00E96D21"/>
    <w:rsid w:val="00EA2A8D"/>
    <w:rsid w:val="00EA32EB"/>
    <w:rsid w:val="00EA427F"/>
    <w:rsid w:val="00EB03A9"/>
    <w:rsid w:val="00EB0939"/>
    <w:rsid w:val="00EB3A75"/>
    <w:rsid w:val="00EB4B64"/>
    <w:rsid w:val="00EC0885"/>
    <w:rsid w:val="00EC204C"/>
    <w:rsid w:val="00EC2090"/>
    <w:rsid w:val="00EC37E7"/>
    <w:rsid w:val="00EC3F21"/>
    <w:rsid w:val="00EC7CBA"/>
    <w:rsid w:val="00ED1394"/>
    <w:rsid w:val="00ED29E8"/>
    <w:rsid w:val="00ED4848"/>
    <w:rsid w:val="00ED6BE5"/>
    <w:rsid w:val="00EE0991"/>
    <w:rsid w:val="00EE3A21"/>
    <w:rsid w:val="00EE4643"/>
    <w:rsid w:val="00EF024E"/>
    <w:rsid w:val="00EF054E"/>
    <w:rsid w:val="00EF2048"/>
    <w:rsid w:val="00EF282A"/>
    <w:rsid w:val="00EF2985"/>
    <w:rsid w:val="00EF3053"/>
    <w:rsid w:val="00EF38E9"/>
    <w:rsid w:val="00F042D0"/>
    <w:rsid w:val="00F05D86"/>
    <w:rsid w:val="00F05F99"/>
    <w:rsid w:val="00F07545"/>
    <w:rsid w:val="00F10EC9"/>
    <w:rsid w:val="00F17396"/>
    <w:rsid w:val="00F176C9"/>
    <w:rsid w:val="00F22DC6"/>
    <w:rsid w:val="00F30462"/>
    <w:rsid w:val="00F31F9E"/>
    <w:rsid w:val="00F32A5D"/>
    <w:rsid w:val="00F40950"/>
    <w:rsid w:val="00F40C12"/>
    <w:rsid w:val="00F41F5C"/>
    <w:rsid w:val="00F4774E"/>
    <w:rsid w:val="00F51DB7"/>
    <w:rsid w:val="00F52470"/>
    <w:rsid w:val="00F52687"/>
    <w:rsid w:val="00F52E83"/>
    <w:rsid w:val="00F55E50"/>
    <w:rsid w:val="00F60134"/>
    <w:rsid w:val="00F65530"/>
    <w:rsid w:val="00F70AE4"/>
    <w:rsid w:val="00F765F4"/>
    <w:rsid w:val="00F81642"/>
    <w:rsid w:val="00F8259F"/>
    <w:rsid w:val="00F85255"/>
    <w:rsid w:val="00F93208"/>
    <w:rsid w:val="00F932D4"/>
    <w:rsid w:val="00FA1C1C"/>
    <w:rsid w:val="00FA1D17"/>
    <w:rsid w:val="00FA6545"/>
    <w:rsid w:val="00FB44B2"/>
    <w:rsid w:val="00FB51A4"/>
    <w:rsid w:val="00FB548F"/>
    <w:rsid w:val="00FB72F4"/>
    <w:rsid w:val="00FC1B50"/>
    <w:rsid w:val="00FC6E1E"/>
    <w:rsid w:val="00FD0DC1"/>
    <w:rsid w:val="00FD26A7"/>
    <w:rsid w:val="00FD3304"/>
    <w:rsid w:val="00FD43D7"/>
    <w:rsid w:val="00FD472A"/>
    <w:rsid w:val="00FD4BF3"/>
    <w:rsid w:val="00FE0AFA"/>
    <w:rsid w:val="00FE3D2D"/>
    <w:rsid w:val="00FE659D"/>
    <w:rsid w:val="00FF1341"/>
    <w:rsid w:val="00FF17E1"/>
    <w:rsid w:val="00FF58A1"/>
    <w:rsid w:val="1038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C6E65"/>
  <w15:docId w15:val="{0C4A7B1F-DFC6-4C90-ADA4-5954F635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57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33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3E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3E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3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3E8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paragraph">
    <w:name w:val="paragraph"/>
    <w:basedOn w:val="Normln"/>
    <w:rsid w:val="005C7DAF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Standardnpsmoodstavce"/>
    <w:rsid w:val="005C7DAF"/>
  </w:style>
  <w:style w:type="character" w:customStyle="1" w:styleId="eop">
    <w:name w:val="eop"/>
    <w:basedOn w:val="Standardnpsmoodstavce"/>
    <w:rsid w:val="005C7DAF"/>
  </w:style>
  <w:style w:type="paragraph" w:styleId="Revize">
    <w:name w:val="Revision"/>
    <w:hidden/>
    <w:uiPriority w:val="99"/>
    <w:semiHidden/>
    <w:rsid w:val="00EB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32324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Standardnpsmoodstavce"/>
    <w:rsid w:val="00F52E83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853FD"/>
    <w:pPr>
      <w:ind w:left="720"/>
      <w:contextualSpacing/>
    </w:pPr>
  </w:style>
  <w:style w:type="table" w:styleId="Mkatabulky">
    <w:name w:val="Table Grid"/>
    <w:basedOn w:val="Normlntabulka"/>
    <w:uiPriority w:val="39"/>
    <w:rsid w:val="00571A20"/>
    <w:pPr>
      <w:spacing w:after="0" w:line="240" w:lineRule="auto"/>
    </w:pPr>
    <w:rPr>
      <w:rFonts w:eastAsiaTheme="minorHAnsi"/>
      <w:kern w:val="2"/>
      <w:lang w:val="cs-CZ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255733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7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3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6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5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facebook.com/pages/CBRE-News/626929170775263?ref=ts&amp;fref=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vana.prochazkova@cbre.com" TargetMode="External"/><Relationship Id="rId20" Type="http://schemas.openxmlformats.org/officeDocument/2006/relationships/hyperlink" Target="http://www.cbre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restcom.cz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cbre_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rman\Downloads\2021_press_release_template%20(1)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F929F8-10BD-4E56-B5F0-31E27C490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61469-049D-4651-AAA7-B2788A606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2E827-74BB-4FF6-ABBA-3C78609FF5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0603F6-6FA4-4221-B734-E1A7845DE432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Metadata/LabelInfo.xml><?xml version="1.0" encoding="utf-8"?>
<clbl:labelList xmlns:clbl="http://schemas.microsoft.com/office/2020/mipLabelMetadata">
  <clbl:label id="{a4033ad9-086f-4644-8250-c4b04e194685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 (1)</Template>
  <TotalTime>7</TotalTime>
  <Pages>6</Pages>
  <Words>2341</Words>
  <Characters>13344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Mirman, Corey @ Corporate Communications</dc:creator>
  <cp:lastModifiedBy>Denisa Kolaříková</cp:lastModifiedBy>
  <cp:revision>2</cp:revision>
  <cp:lastPrinted>2024-08-22T08:16:00Z</cp:lastPrinted>
  <dcterms:created xsi:type="dcterms:W3CDTF">2024-11-14T10:46:00Z</dcterms:created>
  <dcterms:modified xsi:type="dcterms:W3CDTF">2024-11-14T10:46:00Z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2e07bf9cd05b419f08bbe6a0cfc25b2567a991c2dcc512bf619ef5a07575a297</vt:lpwstr>
  </property>
  <property fmtid="{D5CDD505-2E9C-101B-9397-08002B2CF9AE}" pid="3" name="ContentTypeId">
    <vt:lpwstr>0x010100D037425BC85BAC47A18BE758018E6255</vt:lpwstr>
  </property>
</Properties>
</file>